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7B_585/2024 vom 19. Juli 2024</w:t>
      </w:r>
    </w:p>
    <w:p>
      <w:r>
        <w:t>Bundesgericht, 2024-07-19, FR</w:t>
      </w:r>
    </w:p>
    <w:p>
      <w:r>
        <w:rPr>
          <w:b/>
        </w:rPr>
        <w:t xml:space="preserve">Quelle: </w:t>
      </w:r>
      <w:r>
        <w:t>https://mcp.opencaselaw.ch/entscheid/bger_7B_585_2024</w:t>
      </w:r>
    </w:p>
    <w:p>
      <w:r>
        <w:t>FR: TF 7B_585/2024 du 19 juillet 2024</w:t>
      </w:r>
    </w:p>
    <w:p>
      <w:r>
        <w:t>IT: TF 7B_585/2024 del 19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 recourant ne consacre aucun développement à son éventuel dommage ou tort moral, ni sur leur principe, ni sur leur quotité. L'absence d'explications sur la question des prétentions civiles exclut sa qualité pour recourir sur le fond de la cause.</w:t>
      </w:r>
    </w:p>
    <w:p>
      <w:r>
        <w:rPr>
          <w:b/>
        </w:rPr>
        <w:t>E. 1.3</w:t>
      </w:r>
    </w:p>
    <w:p>
      <w:r>
        <w:t>L'hypothèse visée à l'art. 81 al. 1 let. b ch. 6 LTF n'entre pas en considération, le recourant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 En l'espèce, l'autorité précédente a justifié les raisons pour lesquelles elle a écarté la réquisition de preuve du recourant tendant à la mise en oeuvre d'une expertise graphologique (cf. arrêt entrepris, p. 15). Dès lors, le recourant ne saurait se plaindre d'une violation de son droit d'être entendu sous l'angle d'une motivation insuffisante sur ce point. Pour le reste, l'argumentation du recourant ne vise qu'à démontrer en quoi cette mesure d'instruction serait nécessaire afin d'établir ses accusations. Il ne fait ainsi valoir aucun moyen qui puisse être séparé du fond et ses griefs ne sauraient fonder sa qualité pour recourir.</w:t>
      </w:r>
    </w:p>
    <w:p>
      <w:r>
        <w:rPr>
          <w:b/>
        </w:rPr>
        <w:t>E. 2</w:t>
      </w:r>
    </w:p>
    <w:p>
      <w:r>
        <w:t>L'irrecevabilité manifeste du recours doit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