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7B_582/2024 vom 11. Juni 2024</w:t>
      </w:r>
    </w:p>
    <w:p>
      <w:r>
        <w:t>Bundesgericht, 2024-06-11, FR</w:t>
      </w:r>
    </w:p>
    <w:p>
      <w:r>
        <w:rPr>
          <w:b/>
        </w:rPr>
        <w:t xml:space="preserve">Quelle: </w:t>
      </w:r>
      <w:r>
        <w:t>https://mcp.opencaselaw.ch/entscheid/bger_7B_582_2024</w:t>
      </w:r>
    </w:p>
    <w:p>
      <w:r>
        <w:t>FR: TF 7B_582/2024 du 11 juin 2024</w:t>
      </w:r>
    </w:p>
    <w:p>
      <w:r>
        <w:t>IT: TF 7B_582/2024 del 11 giugno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7B_168/2024 du 4 mars 2024 consid. 1.1; 7B_1009/2023 du 6 février 2024 consid. 1.1). Pour le surplus, les autres conditions de recevabilité étant réunies, il y a lieu d'entrer en matière.</w:t>
      </w:r>
    </w:p>
    <w:p>
      <w:r>
        <w:rPr>
          <w:b/>
        </w:rPr>
        <w:t>E. 2</w:t>
      </w:r>
    </w:p>
    <w:p>
      <w:r>
        <w:t>Le recourant conteste l'existence de charges suffisantes au sens de l' art. 221 al. 1 CPP . Il se plaint d'une constatation arbitraire des faits.</w:t>
      </w:r>
    </w:p>
    <w:p>
      <w:r>
        <w:rPr>
          <w:b/>
        </w:rPr>
        <w:t>E. 2.1.1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4.1.3).</w:t>
      </w:r>
    </w:p>
    <w:p>
      <w:r>
        <w:rPr>
          <w:b/>
        </w:rPr>
        <w:t>E. 2.1.2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2.1.3</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3.1 et 3.2, 330 consid. 2.1).</w:t>
      </w:r>
    </w:p>
    <w:p>
      <w:r>
        <w:rPr>
          <w:b/>
        </w:rPr>
        <w:t>E. 2.2</w:t>
      </w:r>
    </w:p>
    <w:p>
      <w:r>
        <w:t>La cour cantonale a constaté que, si la détention provisoire ne pouvait pas se justifier pour les infractions de lésions corporelles simples et de voies de fait dans la mesure où aucune plainte n'avait été déposée en lien avec les faits reprochés, tel n'était pas le cas pour la prévention des crimes de contrainte sexuelle ( art. 189 CP ) et de viol ( art. 190 CP ), lesquels étaient poursuivis d'office. Or s'agissant de ces infractions, le récit du témoin D.________, couplé à la position dans laquelle la police avait retrouvé les deux protagonistes, suffisaient pour retenir qu'un acte d'ordre sexuel ou, à tout le moins, une tentative étaient en cours et qu'à un moment donné C.________ s'était opposée à la manière dont l'acte se déroulait. Quand bien même le rapport sexuel aurait été initialement consenti, le recourant avait eu conscience qu'à un certain moment sa partenaire s'y était opposé, mais avait choisi de passer outre. Il avait en effet admis qu'à l'arrivée de la police, il souhaitait poursuivre l'acte dans la mesure où il avait payé pour une demi-heure. De surcroît, le constat médical faisait était de lésions au visage de C.________, provoquées par les coups qu'elle disait avoir reçu du recourant pendant l'acte. A ce stade, les charges étaient donc suffisamment graves et suffisantes nonobstant les dénégations de ce dernier.</w:t>
      </w:r>
    </w:p>
    <w:p>
      <w:r>
        <w:rPr>
          <w:b/>
        </w:rPr>
        <w:t>E. 2.3</w:t>
      </w:r>
    </w:p>
    <w:p>
      <w:r>
        <w:t>Les développements du recourant en lien avec l'infraction de lésions corporelles simples sont irrecevables dans la mesure où la détention provisoire ne repose pas sur cette infraction.</w:t>
      </w:r>
    </w:p>
    <w:p>
      <w:r>
        <w:t>Pour le surplus, le raisonnement de l'autorité précédente ne prête pas le flanc à la critique et le recourant ne développe aucune argumentation propre à remettre en question. En effet, la Chambre pénale de recours a constaté qu'un rapport sexuel était en cours et qu'à un certain moment, C.________ s'y était opposée sans que le recourant ne respecte sa position. Pour ce faire, elle s'est basée sur le témoignage de D.________, dont la valeur probante n'a pas été remise en cause et sur le constat de la police qui n'a pas davantage été contesté; son appréciation est exempte d'arbitraire. Les déclarations de C.________ selon lesquelles il n'y aurait pas eu de rapport sexuel sont impropres à remettre en cause cette appréciation. C'est par ailleurs en vain que le recourant y fonde son argumentation pour contester l'existence de forts soupçons de viol; il perd en effet de vue qu'il a également été mis en prévention pour contrainte sexuelle. On rappellera ici que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 Compte tenu des faits retenus par l'autorité précédente, en particulier le refus exprimé par C.________ pendant le déroulement de l'acte, les éléments du dossier tendant à démontrer que les protagonistes se connaissaient (images de vidéosurveillance, témoignage de F.________, certaines déclarations des protagonistes), dont se prévaut le recourant, n'apparaissent pas déterminants en l'état.</w:t>
      </w:r>
    </w:p>
    <w:p>
      <w:r>
        <w:t>Enfin, en critiquant la manière dont la police l'a interrogé, le recourant s'en prend en réalité - en vain - à l'appréciation des preuves à laquelle a procédé l'autorité cantonale pour conclure à l'existence de sérieux soupçons. A ce stade de l'instruction, le récit de C.________ relatif au moment où elle s'est opposée à l'acte sexuel, le constat médical corroborant ledit récit, le témoignage de D.________ et le constat de la police en arrivant sur les lieux, sont autant d'éléments qui permettent de fonder de sérieux soupçons quant à la réalisation des faits reprochés.</w:t>
      </w:r>
    </w:p>
    <w:p>
      <w:r>
        <w:t>Vu ce qui précède, la Chambre pénale de recours pouvait admettre, sans arbitraire ni violation de l' art. 221 al. 1 CPP , que la condition des charges suffisantes étaient en l'espèce réalisée.</w:t>
      </w:r>
    </w:p>
    <w:p>
      <w:r>
        <w:rPr>
          <w:b/>
        </w:rPr>
        <w:t>E. 3</w:t>
      </w:r>
    </w:p>
    <w:p>
      <w:r>
        <w:t>Le recourant conteste l'existence d'un risque de collusion.</w:t>
      </w:r>
    </w:p>
    <w:p>
      <w:r>
        <w:rPr>
          <w:b/>
        </w:rPr>
        <w:t>E. 3.1</w:t>
      </w:r>
    </w:p>
    <w:p>
      <w:r>
        <w:t>Conformément à l' art. 221 al. 1 let. b CPP , la détention provisoire ou pour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132 I 21 consid. 3.2).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 ATF 137 IV 122 consid. 4.2; 132 I 21 consid. 3.2.1).</w:t>
      </w:r>
    </w:p>
    <w:p>
      <w:r>
        <w:rPr>
          <w:b/>
        </w:rPr>
        <w:t>E. 3.2</w:t>
      </w:r>
    </w:p>
    <w:p>
      <w:r>
        <w:t>La juridiction précédente a retenu que le risque de collusion sous la forme de pression, voire de représailles à l'égard de C.________ était patent et qu'un tel risque existerait à tout le moins jusqu'à l'audience de confrontation prévue le 19 avril 2024; une interdiction d'entrer en contact avec celle-ci ainsi qu'avec le témoin D.________ était insuffisante au regard de la nature du risque de collusion constaté et ne permettait pas, en l'état de pallier le risque d'atteinte à la recherche de la vérité.</w:t>
      </w:r>
    </w:p>
    <w:p>
      <w:r>
        <w:t>L'argumentation du recourant selon laquelle aucune pression, ni aucune représaille ne pourraient être exercées sur "une personne contestant tout acte d'ordre sexuel" est impropre à remettre en cause l'appréciation de la Chambre pénale de recours. En effet, quoi qu'en dise le recourant, les déclarations de C.________ constituent un des principaux éléments à charge contre lui (cf. consid. 2.3</w:t>
      </w:r>
    </w:p>
    <w:p>
      <w:r>
        <w:t>supra ), de sorte qu'il est effectivement à craindre qu'une fois remis en liberté, celui-ci tente d'obtenir un revirement en sa faveur en usant de moyen de pression. Aussi le risque de collusion apparaît-il indéniable.</w:t>
      </w:r>
    </w:p>
    <w:p>
      <w:r>
        <w:rPr>
          <w:b/>
        </w:rPr>
        <w:t>E. 4</w:t>
      </w:r>
    </w:p>
    <w:p>
      <w:r>
        <w:t>Le recourant invoque une violation du principe de la proportionnalité et de la célérité.</w:t>
      </w:r>
    </w:p>
    <w:p>
      <w:r>
        <w:rPr>
          <w:b/>
        </w:rPr>
        <w:t>E. 4.1.1</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 ATF 140 IV 74 consid. 3.2;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w:t>
      </w:r>
    </w:p>
    <w:p>
      <w:r>
        <w:rPr>
          <w:b/>
        </w:rPr>
        <w:t>E. 4.1.2</w:t>
      </w:r>
    </w:p>
    <w:p>
      <w:r>
        <w:t>Quant au principe de la proportionnalité, il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lequel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et les références). A moins que celui-ci soit d'emblée évident, il n'y a pas lieu de prendre en compte un éventuel sursis (cf. ATF 133 I 270 consid. 3.4.2).</w:t>
      </w:r>
    </w:p>
    <w:p>
      <w:r>
        <w:rPr>
          <w:b/>
        </w:rPr>
        <w:t>E. 4.2</w:t>
      </w:r>
    </w:p>
    <w:p>
      <w:r>
        <w:t>La Chambre pénale de recours a considéré que la détention provisoire initiale de trois mois respectait le principe de la proportionnalité eu égard aux charges suffisantes et graves retenues. Cette durée apparaissait en outre nécessaire pour les besoins de l'instruction; une audience de confrontation était annoncée pour le 19 avril 2023 (recte: 2024) et le recourant ne remettait pas en cause le fait qu'il avait demandé une expertise psychiatrique.</w:t>
      </w:r>
    </w:p>
    <w:p>
      <w:r>
        <w:t>Par ailleurs, l'autorité précédente a considéré que si un laps de temps d'un mois et neuf jours prévu entre l'arrestation du prévenu et la confrontation avec C.________ ne pouvait pas être qualifié de satisfaisant, il ne constituait pas encore une violation du principe de la célérité compte tenu de la gravité des charges en cause. Le Ministère public était toutefois invité à faire preuve de diligence pour la suite de l'instruction.</w:t>
      </w:r>
    </w:p>
    <w:p>
      <w:r>
        <w:rPr>
          <w:b/>
        </w:rPr>
        <w:t>E. 4.3</w:t>
      </w:r>
    </w:p>
    <w:p>
      <w:r>
        <w:t>Ce raisonnement ne prête pas le flanc à la critique et le recourant n'apporte aucun élément susceptible de le remettre en cause. Il se contente de faire valoir que "la détention est illégale et ne répond à aucun intérêt public d'autant plus en l'absence de tout antécédent". Or au regard de la gravité des infractions pour lesquelles il a été mis en prévention, le principe de la proportionnalité apparaît respecté (cf. consid. 4.1.2</w:t>
      </w:r>
    </w:p>
    <w:p>
      <w:r>
        <w:t>supra ). Quant à la durée de la procédure, elle ne viole pas le principe de la célérité d'une manière qui permettrait de considérer que la détention provisoire subie serait disproportionnée au regard de la jurisprudence prévalant en la matière (cf. consid. 4.1.1</w:t>
      </w:r>
    </w:p>
    <w:p>
      <w:r>
        <w:t>supra ). Le recourant ne donne pour le surplus aucun exemple sérieux de temps morts au cours de l'instruction qui viendrait démontrer une violation de ce principe.</w:t>
      </w:r>
    </w:p>
    <w:p>
      <w:r>
        <w:rPr>
          <w:b/>
        </w:rPr>
        <w:t>E. 5</w:t>
      </w:r>
    </w:p>
    <w:p>
      <w:r>
        <w:t>Il s'ensuit que le recours doit être rejeté.</w:t>
      </w:r>
    </w:p>
    <w:p>
      <w:r>
        <w:t>Le recourant a demandé l'octroi de l'assistance judiciaire (cf. art. 64 al. 1 LTF ). Son recours était cependant d'emblée dénué de chances de succès et cette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