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7B_581/2025 vom 24. Juli 2025</w:t>
      </w:r>
    </w:p>
    <w:p>
      <w:r>
        <w:t>Bundesgericht, 2025-07-24, DE</w:t>
      </w:r>
    </w:p>
    <w:p>
      <w:r>
        <w:rPr>
          <w:b/>
        </w:rPr>
        <w:t xml:space="preserve">Quelle: </w:t>
      </w:r>
      <w:r>
        <w:t>https://mcp.opencaselaw.ch/entscheid/bger_7B_581_2025</w:t>
      </w:r>
    </w:p>
    <w:p>
      <w:r>
        <w:t>FR: TF 7B_581/2025 du 24 juillet 2025</w:t>
      </w:r>
    </w:p>
    <w:p>
      <w:r>
        <w:t>IT: TF 7B_581/2025 del 24 luglio 2025</w:t>
      </w:r>
    </w:p>
    <w:p>
      <w:pPr>
        <w:pStyle w:val="Heading2"/>
      </w:pPr>
      <w:r>
        <w:t>Erwägungen</w:t>
      </w:r>
    </w:p>
    <w:p>
      <w:r>
        <w:rPr>
          <w:b/>
        </w:rPr>
        <w:t>E. 1</w:t>
      </w:r>
    </w:p>
    <w:p>
      <w:r>
        <w:t>Das Zwangsmassnahmengericht des Bezirks Zürich versetzte A.________ mit Verfügung vom 21. Mai 2025 in Sicherheitshaft. Mit einer in englischer Sprache verfassten Eingabe vom 26. Mai 2025, welche durch das Zwangsmassnahmengericht zuständigkeitshalber an das Obergericht des Kantons Zürich weitergeleitet wurde, wandte sich A.________ gegen die angeordnete Sicherheitshaft. Mit Verfügung vom 5. Juni 2025 forderte das Obergericht die amtliche Verteidigung von A.________ auf, innert fünf Tagen zu erklären, ob die Eingabe vom 21. Mai 2025 als Beschwerde gegen die Verfügung des Zwangsmassnahmengerichts vom 21. Mai 2025 zu verstehen sei, wobei bejahendenfalls innert gleicher Frist begründete Beanstandungen und klare Anträge einzureichen seien. Die amtliche Verteidigung erklärte daraufhin, die Eingabe von A.________ vom 21. Mai 2025 sei nicht als Beschwerde zu verstehen, weshalb das Verfahren als gegenstandslos abgeschrieben werden könne. In der Folge trat das Obergericht mit Verfügung vom 18. Juni 2025 in Anwendung von 383 [recte: 385] Abs. 2 in Verbindung mit Art. 388 Abs. 2 lit. a StPO auf die Beschwerde nicht ein.</w:t>
      </w:r>
    </w:p>
    <w:p>
      <w:r>
        <w:rPr>
          <w:b/>
        </w:rPr>
        <w:t>E. 2</w:t>
      </w:r>
    </w:p>
    <w:p>
      <w:r>
        <w:t>Mit Eingaben vom 3. und 20. Juli 2025 sowie mit zwei weiteren Eingaben ohne Datum führt A.________ Beschwerde in Strafsachen an das Bundesgericht.</w:t>
      </w:r>
    </w:p>
    <w:p>
      <w:r>
        <w:t>Es wurden keine Vernehmlassungen eingeholt.</w:t>
      </w:r>
    </w:p>
    <w:p>
      <w:r>
        <w:rPr>
          <w:b/>
        </w:rPr>
        <w:t>E. 3</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seine Eingabe vom 3. Juli 2025 in französischer Sprache eingereicht hat.</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Die Vorinstanz begründet unter Darlegung der Prozessgeschichte, weshalb sie in Anwendung von Art. 385 Abs. 2 in Verbindung mit Art. 388 Abs. 2 lit. a StPO auf die Beschwerde nicht eintritt. Mit den entsprechenden Erwägungen setzt sich der Beschwerdeführer nicht ansatzweise auseinander, sondern schildert er die ihm vorgeworfenen Tathandlungen aus seiner Sicht. Solche appellatorische Kritik genügt den dargelegten Begründungsanforderungen offensichtlich nicht, weshalb auf die Beschwerde im vereinfachten Verfahren nach Art. 108 Abs. 1 lit. b BGG nicht einzutreten ist. Soweit der Beschwerdeführer in seiner Eingabe vom 3. Juli 2025 sinngemäss ein Gesuch um Haftentlassung zu stellen scheint, wird das Gesuch zur Prüfung der kantonalen Zuständigkeit (vgl. Art. 230 Abs. 1 und 2 StPO ) an die Staatsanwaltschaft weitergeleitet. Das Bundesgericht ist nicht zuständig für die erstmalige Prüfung eines Haftentlassungsgesuchs.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