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7B_57/2024 vom 11. März 2024</w:t>
      </w:r>
    </w:p>
    <w:p>
      <w:r>
        <w:t>Bundesgericht, 2024-03-11, DE</w:t>
      </w:r>
    </w:p>
    <w:p>
      <w:r>
        <w:rPr>
          <w:b/>
        </w:rPr>
        <w:t xml:space="preserve">Quelle: </w:t>
      </w:r>
      <w:r>
        <w:t>https://mcp.opencaselaw.ch/entscheid/bger_7B_57_2024</w:t>
      </w:r>
    </w:p>
    <w:p>
      <w:r>
        <w:t>FR: TF 7B_57/2024 du 11 mars 2024</w:t>
      </w:r>
    </w:p>
    <w:p>
      <w:r>
        <w:t>IT: TF 7B_57/2024 del 11 marzo 2024</w:t>
      </w:r>
    </w:p>
    <w:p>
      <w:pPr>
        <w:pStyle w:val="Heading2"/>
      </w:pPr>
      <w:r>
        <w:t>Erwägungen</w:t>
      </w:r>
    </w:p>
    <w:p>
      <w:r>
        <w:rPr>
          <w:b/>
        </w:rPr>
        <w:t>E. 1</w:t>
      </w:r>
    </w:p>
    <w:p>
      <w:r>
        <w:t>Gestützt auf eine Strafanzeige des Kantonalen Laboratoriums eröffnete die Staatsanwaltschaft Bischofszell am 22. März 2023 eine Strafuntersuchung gegen A.________. Sie wirft ihm vor, als Präsident mit Einzelunterschrift und Lebensmittelverantwortlicher der B.________ AG, seit Oktober 2023 mindestens 2'500 kg importierten Bienenhonig als Bienenhonig aus der Schweiz oder dem Thurgau verkauft zu haben. Am 28. Juni 2023 fand am Wohnort von A.________ und in den Räumlichkeiten (Verkaufsladen, Lagerräume etc.) der B.________ AG eine Hausdurchsuchung statt. Am 5. Juli 2023 erhob A.________ Beschwerde und ersuchte u.a. um Überprüfung der Recht-, Zweck- und Verhältnismässigkeit der Hausdurchsuchungen. Mit Entscheid vom 23. November 2023 wies das Obergericht des Kantons Thurgau die Beschwerde ab, soweit es darauf eintrat.</w:t>
      </w:r>
    </w:p>
    <w:p>
      <w:r>
        <w:t>Mit Eingabe vom 17. Januar 2024 führt A.________ Beschwerde in Strafsachen an das Bundesgericht und beantragt sinngemäss die Aufhebung des angefochtenen Entscheids vom 23. November 2023.</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3</w:t>
      </w:r>
    </w:p>
    <w:p>
      <w:r>
        <w:t>Der Beschwerdeführer setzt sich mit der Begründung des Obergerichts, die zur Abweisung seiner Beschwerde im Zusammenhang mit der Hausdurchsuchung führte, nicht substanziiert auseinander. Er zeigt nicht auf, inwiefern die Begründung des Obergerichts bzw. dessen Entscheid selbst rechts- bzw. verfassungswidrig sein soll. Stattdessen legt er einzig seine Sicht der Dinge dar und führt aus, dass statt dem "Überfall der Polizei" es wohl auch genügt hätte, zwei Beamte in Zivil vorbeizuschicken. Seine Ausführungen, wonach der zur Unterstützung beigezogene Bieneninspektor einen Zusatzauftrag vom Veterinäramt habe und das Veterinäramt nach Indizien suche, um seine Imkerei zu eliminieren und durch die Beschwerde dieser "Geheimdienstauftrag des Bieneninspektors aufgedeckt worden sei", zielen am Streitgegenstand vorbei.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