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7B_573/2024 vom 7. Juni 2024</w:t>
      </w:r>
    </w:p>
    <w:p>
      <w:r>
        <w:t>Bundesgericht, 2024-06-07, FR</w:t>
      </w:r>
    </w:p>
    <w:p>
      <w:r>
        <w:rPr>
          <w:b/>
        </w:rPr>
        <w:t xml:space="preserve">Quelle: </w:t>
      </w:r>
      <w:r>
        <w:t>https://mcp.opencaselaw.ch/entscheid/bger_7B_573_2024</w:t>
      </w:r>
    </w:p>
    <w:p>
      <w:r>
        <w:t>FR: TF 7B_573/2024 du 7 juin 2024</w:t>
      </w:r>
    </w:p>
    <w:p>
      <w:r>
        <w:t>IT: TF 7B_573/2024 del 7 giugno 2024</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ATF 137 IV 22 consid. 1). Selon l'art. 81 al. 1 let. a et b ch. 1 LTF, l'accusé, détenu, a qualité pour recourir et la décision attaquée, en tant que prononcé incident rendu en dernière instance cantonale (cf. art. 80 LTF ), est susceptible de lui causer un préjudice irréparable au sens de l' art. 93 al. 1 let. a LTF (arrêt 7B_856/2023 du 21 novembre 2023 consid. 1). Pour le surplus, les autres conditions de recevabilité étant réunies, il y a lieu d'entrer en matière.</w:t>
      </w:r>
    </w:p>
    <w:p>
      <w:r>
        <w:rPr>
          <w:b/>
        </w:rPr>
        <w:t>E. 2</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un danger de collusion ou de réitération (cf. art. 221 al. 1 let. a, b et c CPP). Préalablement à ces conditions, il doit exister des charges suffisantes, soit de sérieux soupçons de culpabilité, à l'égard de l'intéressé ( art. 221 al. 1 CPP ).</w:t>
      </w:r>
    </w:p>
    <w:p>
      <w:r>
        <w:rPr>
          <w:b/>
        </w:rPr>
        <w:t>E. 3.1</w:t>
      </w:r>
    </w:p>
    <w:p>
      <w:r>
        <w:t>Le recourant ne conteste pas l'existence de soupçons de culpabilité suffisants à son encontre. Il nie en revanche l'existence des risques de réitération et de fuite retenus par l'autorité précédente. Il propose des mesures de substitution pour les écarter.</w:t>
      </w:r>
    </w:p>
    <w:p>
      <w:r>
        <w:rPr>
          <w:b/>
        </w:rPr>
        <w:t>E. 3.2</w:t>
      </w:r>
    </w:p>
    <w:p>
      <w:r>
        <w:t>Selon l' art. 221 al. 1 let. a CPP , la détention provisoire ou pour des motifs de sûreté peut être ordonnée s'il y a sérieusement lieu de craindre que le prévenu se soustraie à la procédure pénale ou à la sanction prévisible en prenant la fuite.</w:t>
      </w:r>
    </w:p>
    <w:p>
      <w:r>
        <w:t>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 ATF 145 IV 503 consid. 2.2; arrêts 7B_234/2024 du 14 mars 2024 consid. 4.2.1; 7B_1011/2023 du 11 janvier 2024 consid. 4.1).</w:t>
      </w:r>
    </w:p>
    <w:p>
      <w:r>
        <w:rPr>
          <w:b/>
        </w:rPr>
        <w:t>E. 3.3</w:t>
      </w:r>
    </w:p>
    <w:p>
      <w:r>
        <w:t>En l'occurrence, le recourant vit en Suisse, pays dont il a la nationalité, et il ne paraît par ailleurs pas avoir de lien avec un autre pays en particulier. Il n'en demeure pas moins que l'attitude qu'il a adoptée pour essayer de se soustraire à son arrestation le 29 septembre 2023 laisse craindre qu'il tente d'échapper à la procédure pénale en cours. A cela s'ajoute que l'éventualité d'une longue incarcération apparaît de plus en plus concrète, compte tenu de l'acte d'accusation rendu le 18 mars 2024, dont il résulte qu'il est accusé de nombreuses infractions, la plus grave d'entre elles étant passible d'une peine privative de liberté allant jusqu'à 10 ans (vol par métier; art. 139 ch. 1 et 3 let. a CP ). Quant à l'absence du recourant "au jugement d'appel" (cf. recours, p. 3 s.), elle tend, quoiqu'il en dise, à démontrer qu'il ne fait pas face aux échéances imposées par la justice pénale. Enfin, le recourant n'a pas d'enfants et ne dispose d'aucun emploi à sa sortie de prison; il déclare de plus dans son recours qu'il "vit à l'Hôtel à Palézieux" (cf. recours, p. 3).</w:t>
      </w:r>
    </w:p>
    <w:p>
      <w:r>
        <w:t>Il apparaît, dans ces circonstances, qu'un départ à l'étranger, par exemple dans un pays limitrophe, même sans ressources particulières, voire une entrée dans la clandestinité, pourraient constituer, aux yeux du recourant, des alternatives préférables à celle de devoir affronter la procédure de jugement et l'éventualité d'une longue incarcération. Le fait qu'il ait "une amie" n'est pas déterminant puisqu'en septembre 2023 encore, lors de son arrestation, il déclarait que sa compagne l'avait quitté et qu'il n'avait plus rien à perdre. En outre, l'incarcération du recourant depuis plus de 8 mois ne fait pas disparaître ce risque, au vu de la peine encore importante à laquelle il demeure exposé.</w:t>
      </w:r>
    </w:p>
    <w:p>
      <w:r>
        <w:t>Cela étant, au vu de ces éléments, la cour cantonale pouvait à juste titre retenir un risque concret de fuite.</w:t>
      </w:r>
    </w:p>
    <w:p>
      <w:r>
        <w:t>Ce motif particulier de détention étant donné, il n'est pas nécessaire, dans la procédure de recours devant le Tribunal fédéral, d'examiner également si d'autres motifs alternatifs de détention pourraient être remplis, comme le risque de récidive retenu par l'autorité précédente ( art. 221 al. 1 let . c CPP; cf. arrêts 7B_386/2024 du 30 avril 2024 consid. 2.3; 7B_188/2024 du 12 mars 2024 consid. 6.3.1).</w:t>
      </w:r>
    </w:p>
    <w:p>
      <w:r>
        <w:rPr>
          <w:b/>
        </w:rPr>
        <w:t>E. 3.4</w:t>
      </w:r>
    </w:p>
    <w:p>
      <w:r>
        <w:t>Par ailleurs, la cour cantonale a écarté à juste titre les mesures de substitution proposées par le recourant. En effet, une obligation de se présenter régulièrement à un poste de police ou une assignation à résidence - même assortie du port d'un bracelet électronique - ne sont pas de nature à empêcher une personne de s'enfuir à l'étranger ou de passer dans la clandestinité ( ATF 145 IV 503 consid. 3.2 et 3.3.2; cf. arrêts 7B_850/2023 du 24 novembre 2023 consid. 4.5; 1B_220/2020 du 26 mai 2020 consid. 5.2). On ne voit au demeurant pas quelle autre mesure de substitution serait propre à éviter le risque de fuite.</w:t>
      </w:r>
    </w:p>
    <w:p>
      <w:r>
        <w:t>Quant au principe de la proportionnalité du point de vue de la durée de la détention subie par rapport à la peine encourue, il n'est à ce jour pas violé au regard des infractions qui sont reprochées au recourant - dont la plus grave est, comme déjà évoqué, passible d'une peine privative de liberté allant jusqu'à dix ans (cf. art. 139 ch. 3 let. a CP ) - et de ses antécédents largement défavorables (cf. art. 212 al. 3 CPP ; cf. ATF 145 IV 179 consid. 3.1; 143 IV 168 consid. 5.1). Il n'apparaît pour le surplus pas que la détention doive se prolonger au-delà de la durée admissible dans la mesure où l'acte d'accusation a été rendu le 18 mars 2024 et que les débats ont été fixés au 11 juillet 2024 (cf. documents de travail du dossier cantonal, p. 3; arrêts 1B_332/2021 du 6 juillet 2021 consid. 5.1; 1B_53/2013 du 21 février 2013 consid. 4).</w:t>
      </w:r>
    </w:p>
    <w:p>
      <w:r>
        <w:rPr>
          <w:b/>
        </w:rPr>
        <w:t>E. 3.5</w:t>
      </w:r>
    </w:p>
    <w:p>
      <w:r>
        <w:t>En définitive, l'autorité précédente n'a pas violé le droit fédéral en confirmant la décision du TMC ordonnant la détention pour des motifs de sûreté du recourant au plus tard jusqu'au 17 juillet 2024.</w:t>
      </w:r>
    </w:p>
    <w:p>
      <w:r>
        <w:rPr>
          <w:b/>
        </w:rPr>
        <w:t>E. 4</w:t>
      </w:r>
    </w:p>
    <w:p>
      <w:r>
        <w:t>Le recours doit par conséquent être rejeté.</w:t>
      </w:r>
    </w:p>
    <w:p>
      <w:r>
        <w:t>Le recourant a demandé l'octroi de l'assistance judiciaire (cf. art. 64 al. 1 LTF ). Les conditions y relatives étant réunies, il y a lieu d'admettre cette requête et de désigner Me Kathrin Gruber en tant qu'avocate d'office pour la procédure fédérale, ainsi que de lui allouer une indemnité à titre d'honoraires, qui sera supportée par la caisse du Tribunal fédéral (cf. art. 64 al. 2 LTF ). Le recourant est toutefois rendu attentif à son obligation de rembourser la caisse du Tribunal fédéral s'il retrouve ultérieurement une situation financière lui permettant de le faire (cf. art. 64 al. 4 LTF ). Il ne sera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