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7B_565/2024 vom 19. Juli 2024</w:t>
      </w:r>
    </w:p>
    <w:p>
      <w:r>
        <w:t>Bundesgericht, 2024-07-19, FR</w:t>
      </w:r>
    </w:p>
    <w:p>
      <w:r>
        <w:rPr>
          <w:b/>
        </w:rPr>
        <w:t xml:space="preserve">Quelle: </w:t>
      </w:r>
      <w:r>
        <w:t>https://mcp.opencaselaw.ch/entscheid/bger_7B_565_2024</w:t>
      </w:r>
    </w:p>
    <w:p>
      <w:r>
        <w:t>FR: TF 7B_565/2024 du 19 juillet 2024</w:t>
      </w:r>
    </w:p>
    <w:p>
      <w:r>
        <w:t>IT: TF 7B_565/2024 del 19 luglio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jugement du 2 septembre 2022, le Tribunal pénal de l'arrondissement de la Broye a notamment condamné A.________ (ci-après: le recourant) à une peine privative de liberté ferme de 3 ans et a prononcé un internement à son endroit. Par arrêt du 2 novembre 2023, la Cour d'appel pénal du Tribunal cantonal du canton de Fribourg (ci-après: la Cour d'appel pénal) a rejeté l'appel formé par le recourant contre ce jugement et l'a confirmé. Le recourant a déposé un recours au Tribunal fédéral contre cet arrêt (6B_31/2024).</w:t>
      </w:r>
    </w:p>
    <w:p>
      <w:r>
        <w:rPr>
          <w:b/>
        </w:rPr>
        <w:t>E. 1.2</w:t>
      </w:r>
    </w:p>
    <w:p>
      <w:r>
        <w:t>Par arrêt du 25 avril 2024, le Président de la Cour d'appel pénal a admis la demande d'exécution anticipée de la mesure d'internement déposée par le recourant. Il a toutefois relevé qu'il n'y avait, dès lors que cette mesure n'était pas encore exécutoire, pas de place pour un éventuel changement de sanction au sens de l' art. 65 CP . Par acte du 16 mai 2024, le recourant a déposé un recours en matière pénale au Tribunal fédéral contre cet arrêt (7B_565/2024). Il a en substance conclu à ce que sa demande de changement de sanction soit examinée. Il a en outre requis l'assistance judiciaire.</w:t>
      </w:r>
    </w:p>
    <w:p>
      <w:r>
        <w:rPr>
          <w:b/>
        </w:rPr>
        <w:t>E. 1.3</w:t>
      </w:r>
    </w:p>
    <w:p>
      <w:r>
        <w:t>Par arrêt du 24 juin 2024 (6B_31/2024), la Ire Cour de droit pénal du Tribunal fédéral a rejeté le recours formé par le recourant contre l'arrêt du 2 novembre 2023 et a en particulier confirmé la mesure d'internement prononcée à l'endroit de l'intéressé.</w:t>
      </w:r>
    </w:p>
    <w:p>
      <w:r>
        <w:rPr>
          <w:b/>
        </w:rPr>
        <w:t>E. 1.4</w:t>
      </w:r>
    </w:p>
    <w:p>
      <w:r>
        <w:t>Le 3 juillet 2024, le recourant a déposé une nouvelle demande de changement de sanction auprès des autorités cantonales.</w:t>
      </w:r>
    </w:p>
    <w:p>
      <w:r>
        <w:rPr>
          <w:b/>
        </w:rPr>
        <w:t>E. 2</w:t>
      </w:r>
    </w:p>
    <w:p>
      <w:r>
        <w:t>Par lettre du 16 juillet 2024, le recourant a retiré son recours du 16 mai 2024 (7B_565/2024). Il y a lieu d'en prendre acte et de rayer la cause du rôle (cf. art. 32 al. 2 LTF ).</w:t>
      </w:r>
    </w:p>
    <w:p>
      <w:r>
        <w:rPr>
          <w:b/>
        </w:rPr>
        <w:t>E. 3</w:t>
      </w:r>
    </w:p>
    <w:p>
      <w:r>
        <w:t>Vu la particularité de la cause, la requête d'assistance judiciaire du recourant sera admise. Il y a lieu de désigner Me Guillaume Bénard en qualité d'avocat d'office du recourant et de lui allouer une indemnité à titre d'honoraires, laquelle sera supportée par la caisse du Tribunal fédéral ( art. 64 al. 2 LTF ). Le recourant doit toutefois être rendu attentif au fait que s'il peut rembourser ultérieurement la caisse, il sera tenu de le faire ( art. 64 al. 4 LTF ). Il ne sera pas perçu de frais judiciaires ( art. 64 al. 1 LTF ). Par ces motifs, le Juge unique ordonne: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