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563/2025 vom 15. August 2025</w:t>
      </w:r>
    </w:p>
    <w:p>
      <w:r>
        <w:t>Bundesgericht, 2025-08-15, FR</w:t>
      </w:r>
    </w:p>
    <w:p>
      <w:r>
        <w:rPr>
          <w:b/>
        </w:rPr>
        <w:t xml:space="preserve">Quelle: </w:t>
      </w:r>
      <w:r>
        <w:t>https://mcp.opencaselaw.ch/entscheid/bger_7B_563_2025</w:t>
      </w:r>
    </w:p>
    <w:p>
      <w:r>
        <w:t>FR: TF 7B 563/2025 du 15 août 2025</w:t>
      </w:r>
    </w:p>
    <w:p>
      <w:r>
        <w:t>IT: TF 7B 563/2025 del 15 agosto 2025</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w:t>
      </w:r>
    </w:p>
    <w:p>
      <w:r>
        <w:t>L'objet de la présente procédure est strictement circonscrit à l'arrêt cantonal attaqué (cf. art. 80 al. 1 LTF ). Toutes les éventuelles conclusions relatives à d'autres actes ou décisions sont dès lors irrecevables.</w:t>
      </w:r>
    </w:p>
    <w:p>
      <w:r>
        <w:rPr>
          <w:b/>
        </w:rPr>
        <w:t>E. 2</w:t>
      </w:r>
    </w:p>
    <w:p>
      <w:r>
        <w:t>Le complément de recours déposé le 30 juin 2025 (date du sceau postal) par le recourant est intervenu hors du délai de recours, lequel est arrivé à échéance le 23 juin 2025 et ne peut pas être prolongé. Ainsi, seule la motivation exposée dans le recours du 20 juin 2025 peut être prise en compte.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7B_646/2025 du 28 juillet 2025 consid. 1.1;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7B_646/2025 précité consid. 1.1; 7B_735/2024 du 31 juillet 2024 et les réf. citées).</w:t>
      </w:r>
    </w:p>
    <w:p>
      <w:r>
        <w:rPr>
          <w:b/>
        </w:rPr>
        <w:t>E. 3.2</w:t>
      </w:r>
    </w:p>
    <w:p>
      <w:r>
        <w:t>En l'espèce, le recourant a déposé une plainte pénale pour abus d'autorité contre deux agents de police auteurs d'un rapport ayant mené à sa condamnation à une amende de 200 fr. pour violation simple des règles de la circulation routière. Il leur reprochait d'avoir donné de fausses indications dans le but de lui nuire. Cela étant, le recourant se limite à relever que les fautes reprochées aux agents auraient directement conduit à une condamnation infondée l'obligeant à payer une amende et des frais de procédure et que "d'après l' art. 41 CO , une action en responsabilité serait fondée en cas de faute génératrice d'un dommage". Ce faisant, le recourant ne s'exprime pas, à satisfaction de droit, ni sur le principe, ni sur la quotité de toute éventuelle prétention civile qu'il pourrait élever en raison des actes dénoncés dans sa plainte pénale. De surcroît, les personnes dont il est question sont des agents de la collectivité publique et les faits dénoncés se rapportent au comportement que ceux-ci auraient adopté dans l'exercice de leurs fonctions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de tels auteurs présumés, mais contre l'État. De telles prétentions ne peuvent en tout état pas être invoquées dans le procès pénal par voie d'adhésion et ne constituent donc pas des prétentions civiles au sens de l' art. 81 LTF ( ATF 146 IV 76 consid. 3.1; 138 IV 86 consid. 3.1). Le recourant ne démontre par conséquent pas avoir qualité pour recourir sur le fond en application de l'art. 81 al. 1 let. a et b ch. 5 LTF.</w:t>
      </w:r>
    </w:p>
    <w:p>
      <w:r>
        <w:rPr>
          <w:b/>
        </w:rPr>
        <w:t>E. 4</w:t>
      </w:r>
    </w:p>
    <w:p>
      <w:r>
        <w:t>L'hypothèse visée à l'art. 81 al. 1 let. b ch. 6 LTF n'entre pas en considération, dès lors que le recourant ne soulève aucun grief concernant son droit de porter plainte.</w:t>
      </w:r>
    </w:p>
    <w:p>
      <w:r>
        <w:rPr>
          <w:b/>
        </w:rPr>
        <w:t>E. 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En l'espèce, le recourant reproche à la cour cantonale d'avoir violé son droit d'être entendu en écartant des éléments de preuve qu'il considère déterminants. Il lui reproche en outre d'avoir commis un déni de justice formel en refusant d'entrer en matière "sur des faits objectivement établis". Ne pouvant pas être séparés de l'appréciation sur le fond, les moyens qu'il soulève sont irrecevables.</w:t>
      </w:r>
    </w:p>
    <w:p>
      <w:r>
        <w:rPr>
          <w:b/>
        </w:rPr>
        <w:t>E. 6</w:t>
      </w:r>
    </w:p>
    <w:p>
      <w:r>
        <w:t>L'irrecevabilité manifeste du recours doit être constatée dans la procédure simplifiée prévue à l' art. 108 al. 1 let. a et b LTF . 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