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7B_562/2024 vom 15. Juli 2025</w:t>
      </w:r>
    </w:p>
    <w:p>
      <w:r>
        <w:t>Bundesgericht, 2025-07-15, FR</w:t>
      </w:r>
    </w:p>
    <w:p>
      <w:r>
        <w:rPr>
          <w:b/>
        </w:rPr>
        <w:t xml:space="preserve">Quelle: </w:t>
      </w:r>
      <w:r>
        <w:t>https://mcp.opencaselaw.ch/entscheid/bger_7B_562_2024</w:t>
      </w:r>
    </w:p>
    <w:p>
      <w:r>
        <w:t>FR: TF 7B_562/2024 du 15 juillet 2025</w:t>
      </w:r>
    </w:p>
    <w:p>
      <w:r>
        <w:t>IT: TF 7B_562/2024 del 15 luglio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7B_889/2023 du 20 février 2025 consid. 2.1; 7B_652/2024 du 30 juillet 2024 consid. 3.2). Le Tribunal fédéral pose des exigences strictes de motivation de la qualité pour recourir (cf. art. 42 al. 1 LTF ; ATF 141 IV 1 consid. 1.1), sans toutefois procéder à un examen approfondi de l'affaire sur le fond (arrêts 7B_889/2023 du 20 février 2025 consid. 2.1; 7B_652/2024 du 30 juillet 2024 consid. 3.2).</w:t>
      </w:r>
    </w:p>
    <w:p>
      <w:r>
        <w:t>Dans l'acte de recours, il convient ainsi de démontrer, en introduction et de manière concise, que les conditions de recevabilité sont remplies (arrêts 7B_889/2023 du 20 février 2025 consid. 2.1; 7B_652/2024 du 30 juillet 2024 consid. 3.2).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7B_889/2023 du 20 février 2025 consid. 2.1; 7B_652/2024 du 30 juillet 2024 consid. 3.2).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7B_889/2023 du 20 février 2025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7B_889/2023 du 20 février 2025 consid. 2.1; 7B_901/2023 du 11 novembre 2024 consid. 1.3.1).</w:t>
      </w:r>
    </w:p>
    <w:p>
      <w:r>
        <w:rPr>
          <w:b/>
        </w:rPr>
        <w:t>E. 2.2</w:t>
      </w:r>
    </w:p>
    <w:p>
      <w:r>
        <w:t>La recourante expose qu'en tant que créancière de la société, dont la faillite aurait été prononcée le 19 janvier 2012, elle serait directement touchée par l'infraction poursuivie, à savoir la gestion fautive au sens de l' art. 165 ch. 1 CP , dont l'établissement pourrait permettre de démontrer la responsabilité de l'intimé dans la survenance du surendettement de la société. Elle fait valoir un préjudice de 1'387'502 fr. 70, qui correspondrait au montant de la créance reconnue par la procédure arbitrale, y compris les dépens, et ajoute que la faillite de la société ne donnera lieu à aucun versement de dividende en raison de l'absence totale d'actifs disponibles. Elle aurait ainsi un intérêt à obtenir la condamnation de l'intimé afin d'établir le caractère illicite de l'atteinte subie et d'obtenir des dommages-intérêts par application de l' art. 41 CO .</w:t>
      </w:r>
    </w:p>
    <w:p>
      <w:r>
        <w:rPr>
          <w:b/>
        </w:rPr>
        <w:t>E. 2.3</w:t>
      </w:r>
    </w:p>
    <w:p>
      <w:r>
        <w:t>Selon la jurisprudence du Tribunal fédéral, un préjudice purement patrimonial, comme dans le cas d'espèce, n'est illicite selon l' art. 41 al. 1 CO que s'il résulte de la violation d'une norme protectrice, qui peut découler de l'ensemble de l'ordre juridique suisse, qu'il s'agisse de droit privé, administratif ou pénal, qu'elle constitue un droit écrit et non écrit ou qu'elle provienne du droit fédéral ou cantonal (cf. ATF 141 III 527 consid. 3.2; arrêt 4A_423/2023 du 7 février 2024 consid. 4.3 et les arrêts cité). Or, dans un arrêt de principe, le Tribunal fédéral a considéré que les crimes ou délits dans la faillite et la poursuite pour dettes ( art. 163 ss CP ), dont la gestion fautive ( art. 165 ch. 1 CP ), ne constituaient pas des normes de protection au sens de l' art. 41 al. 1 CO , en particulier parce qu'elles ne servaient à protéger les créanciers que par leur effet préventif général (cf. ATF 141 III 527 consid. 3; arrêts 7B_638/2023 du 22 janvier 2025 consid. 4.3.1; 4A_423/2023 du 7 février 2024 consid. 4.3). Le Tribunal fédéral a en outre relevé que ce type d'infractions n'avaient pas pour fonction d'étendre la protection des créanciers prévue par le droit de l'exécution forcée et de créer des bases supplémentaires pour les créanciers (cf. ATF 141 III 527 consid. 3; arrêt 4A_423/2023 du 7 février 2024 consid. 4.3).</w:t>
      </w:r>
    </w:p>
    <w:p>
      <w:r>
        <w:t>Il s'ensuit que les explications de la recourante, qui fonde ses prétentions civiles sur une atteinte illicite à son patrimoine au sens de l' art. 41 CO , ne lui permettent pas de démontrer qu'elle pourrait disposer d'une prétention civile pouvant être invoquée par adhésion dans la procédure pénale. Par ailleurs, la recourante n'explique pas que les prétentions civiles qu'elle entendrait faire valoir pourraient reposer sur un autre fondement juridique. À cet égard, on peut tout au plus relever qu'elle mentionne, sans autres explications et entre parenthèses, l' art. 754 CO , mais cette simple mention ne saurait satisfaire aux exigences strictes de motivation de la qualité pour recourir au Tribunal fédéral (cf. art. 42 al. 2 LTF ).</w:t>
      </w:r>
    </w:p>
    <w:p>
      <w:r>
        <w:t>Pour le surplus, il est vrai que, par le passé, à savoir dans les causes 6B_551/2015 du 24 février 2016 et 6B_1107/2017 du 1</w:t>
      </w:r>
    </w:p>
    <w:p>
      <w:r>
        <w:t>er juin 2018, le Tribunal fédéral était entré en matière sur de précédents recours de la recourante. Cependant, la jurisprudence publiée à l' ATF 141 III 527 découle d'un arrêt rendu le 12 novembre 2015 qui n'a été publié officiellement que plus tard, de sorte qu'on peut supposer qu'il n'en avait pas encore été tenu compte lors du prononcé de l'arrêt 6B_551/2015 du 24 février 2016. De plus, dans cet arrêt, le Tribunal fédéral n'avait pas spécifiquement examiné la question de la recevabilité du recours en lien avec l'infraction de gestion fautive, dont la question de son éventuelle application avait été laissée indécise (cf. arrêt 6B_551/2015 du 24 février 2016 consid. 5). Dans l'arrêt 6B_1107/2017, le Tribunal fédéral s'était limité à reprendre ce qui figurait dans l'arrêt précédent, sans examiner sérieusement la question de la qualité pour recourir. Cela étant, la recourante ne saurait aujourd'hui se prévaloir d'un tel excès de générosité. La jurisprudence publiée aux ATF 141 III 527 , qui date d'il y a environ dix ans, est en effet désormais bien établie, de sorte qu'il incombait à la recourante, dans son recours du 21 mai 2024, de prendre en considération les règles posées par celles-ci et donc de motiver sa qualité pour recourir au Tribunal fédéral en conséquence.</w:t>
      </w:r>
    </w:p>
    <w:p>
      <w:r>
        <w:t>Il résulte de ce qui précède que la recourante n'établit pas sa qualité pour recourir au sens de l'art. 81 al. 1 let. a et b ch. 5 LTF.</w:t>
      </w:r>
    </w:p>
    <w:p>
      <w:r>
        <w:rPr>
          <w:b/>
        </w:rPr>
        <w:t>E. 3</w:t>
      </w:r>
    </w:p>
    <w:p>
      <w:r>
        <w:t>La recourante ne soulève aucun grief quant à son droit de porter plainte au sens de l'art. 81 al. 1 let. b ch. 6 LTF, ni n'invoque une violation de ses droits de partie équivalant à un déni de justice formel (cf. ATF 141 IV 1 consid. 1.1). La qualité pour recourir doit par conséquent également lui être déniée à ces égards.</w:t>
      </w:r>
    </w:p>
    <w:p>
      <w:r>
        <w:rPr>
          <w:b/>
        </w:rPr>
        <w:t>E. 4</w:t>
      </w:r>
    </w:p>
    <w:p>
      <w:r>
        <w:t>Le recours doit donc être déclaré irrecevable.</w:t>
      </w:r>
    </w:p>
    <w:p>
      <w:r>
        <w:t>Dans la mesure où on ne peut pas exclure que la recourante ait été induite, à tort, en erreur par l'arrêt 6B_1107/2017 du 1</w:t>
      </w:r>
    </w:p>
    <w:p>
      <w:r>
        <w:t>er juin 2018, il sera exceptionnellement renoncé à percevoir des frais judiciaires (cf.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