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7B_560/2024 vom 14. Juni 2024</w:t>
      </w:r>
    </w:p>
    <w:p>
      <w:r>
        <w:t>Bundesgericht, 2024-06-14, DE</w:t>
      </w:r>
    </w:p>
    <w:p>
      <w:r>
        <w:rPr>
          <w:b/>
        </w:rPr>
        <w:t xml:space="preserve">Quelle: </w:t>
      </w:r>
      <w:r>
        <w:t>https://mcp.opencaselaw.ch/entscheid/bger_7B_560_2024</w:t>
      </w:r>
    </w:p>
    <w:p>
      <w:r>
        <w:t>FR: TF 7B_560/2024 du 14 juin 2024</w:t>
      </w:r>
    </w:p>
    <w:p>
      <w:r>
        <w:t>IT: TF 7B_560/2024 del 14 giugno 2024</w:t>
      </w:r>
    </w:p>
    <w:p>
      <w:pPr>
        <w:pStyle w:val="Heading2"/>
      </w:pPr>
      <w:r>
        <w:t>Erwägungen</w:t>
      </w:r>
    </w:p>
    <w:p>
      <w:r>
        <w:rPr>
          <w:b/>
        </w:rPr>
        <w:t>E. 1</w:t>
      </w:r>
    </w:p>
    <w:p>
      <w:r>
        <w:t>Mit Entscheid vom 8. März 2024 ist das Obergericht des Kantons Aargau u.a. nicht auf eine Rechtsverzögerungsbeschwerde und ein Ausstandsgesuch der A.________ AG gegen die Staatsanwaltschaft Zofingen-Kulm eingetreten.</w:t>
      </w:r>
    </w:p>
    <w:p>
      <w:r>
        <w:t>Mit Eingabe vom 18. Mai 2024 führt die A.________ AG Beschwerde in Strafsachen an das Bundesgericht wegen Rechtsverzögerung. Mit separater Eingabe vom 22. Mai 2024 beantragt die A.________ AG, die Verfahren im Kanton Aargau und Kanton Schwyz seien zusammenzuführen und an das Bundesstrafgericht zu überweisen.</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rPr>
          <w:b/>
        </w:rPr>
        <w:t>E. 3</w:t>
      </w:r>
    </w:p>
    <w:p>
      <w:r>
        <w:t>Die Beschwerde besteht weitgehend aus strafrechtlichen Vorwürfen gegen die Oberrichterin, auf die nicht einzugehen ist. Die verlangte Strafverfolgung verschiedener Gerichtspersonen ist nicht Gegenstand des vorliegenden Verfahrens. Die Beschwerdeführerin behauptet, es liege eine "materielle Rechtsverweigerung" vor. Diese Behauptung bedürfte einer substanziierten Begründung (vgl. E. 2 hiervor). An einer solchen mangelt es vorliegend. Keine solche Begründung liefert jedenfalls die Aussage der Beschwerdeführerin, es liege ein Fehlurteil sowie eine Strafvereitelung und Begünstigung vor. Die Vorinstanz hat nachvollziehbar aufgezeigt, weshalb sie auf die Rechtsverzögerungsbeschwerde, das unsubstanziierte Ausstandsgesuch, das Begehren um Akteneinsicht sowie die übrige Beschwerde nicht eingetreten ist. Damit setzt sich die Beschwerdeführerin nicht hinreichend substanziiert auseinander. Die Beschwerde genügt damit den vorgenannten gesetzlichen Formerfordernissen offensichtlich nicht, weshalb auf sie im vereinfachten Verfahren nach Art. 108 Abs. 1 BGG nicht einzutreten ist.</w:t>
      </w:r>
    </w:p>
    <w:p>
      <w:r>
        <w:t>Ebenfalls nicht einzutreten ist auf den Antrag der Beschwerdeführerin, die Verfahren im Kanton Aargau und Kanton Schwyz seien zu vereinigen und an das Bundesstrafgericht zu überweisen. Die Voraussetzungen für eine Vereinigung (vgl. Art. 71 BGG i.V. Art. 24 BZP [SR 273]) sind vorliegend nicht erfüllt. Zudem ist es auch nicht Aufgabe des Bundesgerichts, Verfahren an das Bundesstrafgericht zu überweisen. Darauf ist nicht einzutreten.</w:t>
      </w:r>
    </w:p>
    <w:p>
      <w:r>
        <w:rPr>
          <w:b/>
        </w:rPr>
        <w:t>E. 4</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