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7B_55/2025 vom 11. September 2025</w:t>
      </w:r>
    </w:p>
    <w:p>
      <w:r>
        <w:t>Bundesgericht, 2025-09-11, FR</w:t>
      </w:r>
    </w:p>
    <w:p>
      <w:r>
        <w:rPr>
          <w:b/>
        </w:rPr>
        <w:t xml:space="preserve">Quelle: </w:t>
      </w:r>
      <w:r>
        <w:t>https://mcp.opencaselaw.ch/entscheid/bger_7B_55_2025</w:t>
      </w:r>
    </w:p>
    <w:p>
      <w:r>
        <w:t>FR: TF 7B_55/2025 du 11 septembre 2025</w:t>
      </w:r>
    </w:p>
    <w:p>
      <w:r>
        <w:t>IT: TF 7B_55/2025 del 11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22 janvier 2025, F.________ (ci-après : le recourant) a interjeté un recours en matière pénale au Tribunal fédéral contre l'ordonnance du Tribunal des mesures de contrainte du canton de Vaud (ci-après : le TMC) du 20 décembre 2024 levant les scellés sur différents supports de données et fichiers le concernant (cause 7B_55/2025). Par courrier daté du 22 août 2025 et reçu le 25 août 2025, le Ministère public de la Confédération (ci-après : le MPC) a transmis "pour avis" au Tribunal fédéral un courrier du 22 août 2025 des avocats du recourant, dans lequel ceux-ci indiquaient que leur mandant déclarait retirer le recours du 22 janvier 2025; ils sollicitaient notamment la réduction des frais judiciaires. À la suite de l'ordonnance du Tribunal fédéral du 26 août 2025 invitant le recourant à prendre position sur l'écriture du MPC précitée, le recourant a, par courrier recommandé adressé directement au Tribunal fédéral du 5 septembre 2025, confirmé la teneur du courrier de ses avocats du 22 août 2025. Il y a par conséquent lieu de prendre acte du retrait du recours dans la cause 7B_55/2025 et de rayer la cause du rôle (cf. art. 32 al. 2 LTF ).</w:t>
      </w:r>
    </w:p>
    <w:p>
      <w:r>
        <w:rPr>
          <w:b/>
        </w:rPr>
        <w:t>E. 2.1</w:t>
      </w:r>
    </w:p>
    <w:p>
      <w:r>
        <w:t>Lorsque la cause est rayée du rôle en raison du retrait du recours, la partie recourante est réputée avoir succombé au sens de l' art. 66 al. 1 LTF (ordonnances 7B_82/2025 du 9 mai 2025 consid. 2; 7B_979/2024 du 10 janvier 2025 consid. 2; GRÉGORY BOVEY, in Commentaire de la LTF, 3e éd. 2022, n° 38 ad art. 66 LTF ). Si une affaire est liquidée par un désistement ou une transaction, les frais judiciaires peuvent être réduits ou remis ( art. 66 al. 2 LTF ). Une réduction ou une remise peut entrer en considération lorsque le recours est réglé par un désistement sans avoir causé un travail considérable au tribunal (ordonnances 7B_82/2025 du 9 mai 2025 consid. 2; 7B_996/2024 du 16 janvier 2025 consid. 5; THOMAS GEISER, in Basler Kommentar, Bundesgerichtsgesetz, 3e éd. 2018, n° 21 ad art. 66 LTF ). Quant aux frais causés inutilement, ils sont supportés par celui qui les a engendrés ( art. 66 al. 3 LTF ). L'émolument judiciaire est calculé notamment en fonction de l'ampleur et de la difficulté de la cause, de la façon de procéder des parties et de leur situation financière ( art. 65 al. 2 LTF ).</w:t>
      </w:r>
    </w:p>
    <w:p>
      <w:r>
        <w:rPr>
          <w:b/>
        </w:rPr>
        <w:t>E. 2.2</w:t>
      </w:r>
    </w:p>
    <w:p>
      <w:r>
        <w:t>En l'occurrence, au moment où le recourant a déclaré retirer son recours, une ordonnance d'effet suspensif avait été rendue le 13 février 2025, l'échange d'écritures était terminé - le recourant ayant notamment déposé d'ultimes déterminations le 10 mars 2025 - et la cause était sur le point d'être jugée puisque la procédure de circulation avait été initiée (cf. art. 58 al. 2 LTF ). La manière de procéder pour retirer le recours - soit en substance par l'intermédiaire de la partie intimée - a également nécessité une interpellation du recourant. À cela s'ajoute qu'au vu des exigences de motivation accrues, y compris au stade de la recevabilité, qui prévalent dans les cas d'application de l' art. 264 al. 1 let. b CPP (cf. arrêts 7B_984/2024 du 30 avril 2025 consid. 2.3.1; 7B_145/2025 du 25 mars 2025 consid. 2.4 et 2.7 in fine, destiné à la publication, et les arrêts cités), des infractions de nature économique en cause, des termes liés à des opérations financières utilisés dans le recours (pour des exemples : "ordre de clôture", "transférer des titres", "analyse patrimoniale interne", "ordres de paiement", "emprunts", "gestion financière", "données financières" [cf. notamment ch. 27 p. 9 ss du recours], "avis de débit", "achat [...] d'obligations", "gestion fiscale", "analyse patrimoniale", "cash-flow" [cf. notamment ch. 35 p. 14 ss du recours; voir également ch. 25 p. 8 du recours]) et de la position du recourant au sein de la banque mise en cause, il n'apparaît pas d'emblée évident que la levée des scellés aurait pu constituer une atteinte à la sphère privée, a fortiori qui primerait la recherche de la vérité, de sorte que le recours aurait vraisemblablement été rejeté, voire déclaré irrecevable (cf. art. 42 al. 2 et 93 al. 1 let. a LTF).</w:t>
      </w:r>
    </w:p>
    <w:p>
      <w:r>
        <w:rPr>
          <w:b/>
        </w:rPr>
        <w:t>E. 2.3</w:t>
      </w:r>
    </w:p>
    <w:p>
      <w:r>
        <w:t>Sur le vu de ce qui précède, il n'y a pas lieu de réduire les frais judiciaires, lesquels seront mis à la charge du recourant (cf. art. 66 al. 1 LTF ). Il ne sera pas alloué de dépens (cf. art. 68 al. 3 LTF ), notamment à la Banque D.________ SAet à D.________ Holding SA qui ont appuyé le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