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7B_558/2024 vom 13. Juni 2024</w:t>
      </w:r>
    </w:p>
    <w:p>
      <w:r>
        <w:t>Bundesgericht, 2024-06-13, DE</w:t>
      </w:r>
    </w:p>
    <w:p>
      <w:r>
        <w:rPr>
          <w:b/>
        </w:rPr>
        <w:t xml:space="preserve">Quelle: </w:t>
      </w:r>
      <w:r>
        <w:t>https://mcp.opencaselaw.ch/entscheid/bger_7B_558_2024</w:t>
      </w:r>
    </w:p>
    <w:p>
      <w:r>
        <w:t>FR: TF 7B_558/2024 du 13 juin 2024</w:t>
      </w:r>
    </w:p>
    <w:p>
      <w:r>
        <w:t>IT: TF 7B_558/2024 del 13 giugno 2024</w:t>
      </w:r>
    </w:p>
    <w:p>
      <w:pPr>
        <w:pStyle w:val="Heading2"/>
      </w:pPr>
      <w:r>
        <w:t>Erwägungen</w:t>
      </w:r>
    </w:p>
    <w:p>
      <w:r>
        <w:rPr>
          <w:b/>
        </w:rPr>
        <w:t>E. 1</w:t>
      </w:r>
    </w:p>
    <w:p>
      <w:r>
        <w:t>Die Staatsanwaltschaft Kreuzlingen erhob am 15. Februar 2024 Anklage gegen A.________ wegen versuchten Betrugs, Erschleichung einer falschen Beurkundung, falscher Anschuldigung sowie mehrfachen Ungehorsams gegen amtliche Verfügungen. A.________ stellte diverse Beweisergänzungsanträge, welche die Verfahrensleitung des Bezirksgerichts Kreuzlingen mit Verfügung vom 9. April 2024 abwies. Dagegen erhob A.________ Beschwerde an das Obergericht des Kantons Thurgau, welches am 3. Mai 2024 nicht auf die Beschwerde eintrat.</w:t>
      </w:r>
    </w:p>
    <w:p>
      <w:r>
        <w:t>Mit Eingabe vom 20. Mai 2024 führt A.________ Beschwerde in Strafsachen an das Bundesgericht. Er beantragt, die Aufhebung des angefochtenen Entscheids sowie die Feststellung, dass die Prozessvoraussetzungen gemäss Art. 9 StPO nicht erfüllt seien und die B.________ Stiftung das Recht der Persönlichkeit nicht erlangt habe, um eine Strafanzeige zu stellen oder als Privatkläger am Verfahren teilzunehmen.</w:t>
      </w:r>
    </w:p>
    <w:p>
      <w:r>
        <w:rPr>
          <w:b/>
        </w:rPr>
        <w:t>E. 2</w:t>
      </w:r>
    </w:p>
    <w:p>
      <w:r>
        <w:t>Gemäss Art. 42 Abs. 2 BGG ist in der Begründung einer Beschwerde in gedrängter Form darzulegen, inwiefern der angefochtene Entscheid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Der Beschwerdeführer setzt sich mit seinen in weiten Teilen nicht sachbezogenen Ausführungen nicht rechtsgenüglich mit der Begründung des angefochtenen Entscheids auseinander. So vermag er nicht aufzuzeigen, dass der Schluss des Obergerichts, auf die Beschwerde sei nicht einzutreten, da sie gegen abgelehnte Beweisanträge von Gesetzes wegen ausgeschlossen sei und im Übrigen die abgelehnten Beweisanträge anlässlich der Hauptverhandlung erneut gestellt werden können, Recht verletze. Aus seinen Ausführungen ergibt sich nicht, inwiefern die Begründung des Obergerichts bzw. dessen Beschluss selbst rechts- bzw. verfassungswidrig sein sollte. Seine vorgetragenen Einwände erschöpfen sich vielmehr in der Darstellung seiner Sicht der Dinge und er nimmt darüber hinaus Bezug zu Sachumständen, die über den vorliegenden Streitgegenstand hinausgehen und worüber das Sachgericht zu entscheiden haben wird (vgl. " B.________ Stiftung als Familienfideikommiss", "Anklagegrundsatz" etc.). Mit seiner Kritik vermag der Beschwerdeführer den dargelegten gesetzlichen Begründungsanforderungen offenkundig nicht nachzukommen. Die Beschwerde genügt den gesetzlichen Formerfordernissen nicht, weshalb auf sie im vereinfachten Verfahren nach Art. 108 Abs. 1 BGG nicht einzutreten ist.</w:t>
      </w:r>
    </w:p>
    <w:p>
      <w:r>
        <w:rPr>
          <w:b/>
        </w:rPr>
        <w:t>E. 4</w:t>
      </w:r>
    </w:p>
    <w:p>
      <w:r>
        <w:t>Bei diesem Verfahrensausgang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