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558/2023 vom 20. September 2022</w:t>
      </w:r>
    </w:p>
    <w:p>
      <w:r>
        <w:t>Bundesgericht, 2022-09-20, DE</w:t>
      </w:r>
    </w:p>
    <w:p>
      <w:r>
        <w:rPr>
          <w:b/>
        </w:rPr>
        <w:t xml:space="preserve">Quelle: </w:t>
      </w:r>
      <w:r>
        <w:t>https://mcp.opencaselaw.ch/entscheid/bger_7B_558_2023</w:t>
      </w:r>
    </w:p>
    <w:p>
      <w:r>
        <w:t>FR: TF 7B 558/2023 du 20 septembre 2022</w:t>
      </w:r>
    </w:p>
    <w:p>
      <w:r>
        <w:t>IT: TF 7B 558/2023 del 20 settembre 2022</w:t>
      </w:r>
    </w:p>
    <w:p>
      <w:pPr>
        <w:pStyle w:val="Heading2"/>
      </w:pPr>
      <w:r>
        <w:t>Regeste</w:t>
      </w:r>
    </w:p>
    <w:p>
      <w:r>
        <w:t>Strafverfahren; Ersatzmassnahmen für strafprozessuale Haft, Nichteintreten | Strafprozess</w:t>
      </w:r>
    </w:p>
    <w:p>
      <w:pPr>
        <w:pStyle w:val="Heading2"/>
      </w:pPr>
      <w:r>
        <w:t>Erwägungen</w:t>
      </w:r>
    </w:p>
    <w:p>
      <w:r>
        <w:rPr>
          <w:b/>
        </w:rPr>
        <w:t>E. 1</w:t>
      </w:r>
    </w:p>
    <w:p>
      <w:r>
        <w:t>Die Staatsanwaltschaft Limmattal/Albis führt eine Strafuntersuchung gegen A.________ wegen Drohung sowie Tätlichkeiten. Er wurde am 16. September 2022 in Winterthur festgenommen. Am 18. September 2022 verfügte die Staatsanwaltschaft seine Haftentlassung und beantragte gleichentags beim Bezirksgericht Zürich als zuständigem Zwangsmassnahmengericht die Anordnung von Ersatzmassnahmen. Mit Verfügung vom 20. September 2022 entsprach das Zwangsmassnahmengericht dem Gesuch und ordnete gegen A.________ ein Rayonverbot betreffend das Gebiet der Stadt Zürich, mit Ausnahme der blossen Durchreise sowie mit Ausnahme des Zürcher Hauptbahnhofs an. Darüber hinaus ordnete das Zwangsmassnahmengericht ein Kontaktverbot gegenüber seiner Ex-Partnerin an. Die von A.________ dagegen an das Obergericht des Kantons Zürich erhobene Beschwerde hiess dieses mit Beschluss vom 13. Oktober 2022 gut.</w:t>
      </w:r>
    </w:p>
    <w:p>
      <w:r>
        <w:rPr>
          <w:b/>
        </w:rPr>
        <w:t>E. 2</w:t>
      </w:r>
    </w:p>
    <w:p>
      <w:r>
        <w:t>A.________ gelangt mit Eingabe vom 30. August 2023 an das Bundesgericht. Sinngemäss beantragt er, gestützt auf den gutheissenden Beschluss des Obergerichts Zürich vom 13. Oktober 2022 hätten ihm die Strafverfolgungsbehörden des Kantons Zürich eine finanzielle Wiedergutmachung für den im Rahmen des Haftverfahrens erlittenen unzulässigen Freiheitsentzug zu entrichten. Das Bundesgericht verzichtet auf die Einholung von Vernehmlassungen.</w:t>
      </w:r>
    </w:p>
    <w:p>
      <w:r>
        <w:rPr>
          <w:b/>
        </w:rPr>
        <w:t>E. 3</w:t>
      </w:r>
    </w:p>
    <w:p>
      <w:r>
        <w:t>Soweit sich der Beschwerdeführer gegen den Beschluss des Obergerichts Zürich vom 13. Oktober 2022 richtet, was aus der Rechtsschrift nicht abschliessend klar hervorgeht, erweist sich die Beschwerde als offensichtlich verspätet ( Art. 100 Abs. 1 BGG ). Das Bundesgericht ist sodann nicht zuständig, erstmals über einen Anspruch über allenfalls zu Unrecht erlittene Haft ( Art. 429 - 431 StPO ) zu entscheiden. Mangels Erschöpfung des kantonalen Instanzenzugs ( Art. 80 Abs. 1 und 2 BGG ) erweist sich die Beschwerde auch insoweit als offensichtlich unzulässig. Bei dieser Sachlage ist auf die Beschwerde im vereinfachten Verfahren nach Art. 108 Abs. 1 lit. a BGG nicht einzutreten. Umständehalber wird ausnahmsweise auf eine Kostenauflage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