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555/2023 vom 5. Dezember 2023</w:t>
      </w:r>
    </w:p>
    <w:p>
      <w:r>
        <w:t>Bundesgericht, 2023-12-05, FR</w:t>
      </w:r>
    </w:p>
    <w:p>
      <w:r>
        <w:rPr>
          <w:b/>
        </w:rPr>
        <w:t xml:space="preserve">Quelle: </w:t>
      </w:r>
      <w:r>
        <w:t>https://mcp.opencaselaw.ch/entscheid/bger_7B_555_2023</w:t>
      </w:r>
    </w:p>
    <w:p>
      <w:r>
        <w:t>FR: TF 7B 555/2023 du 5 décembre 2023</w:t>
      </w:r>
    </w:p>
    <w:p>
      <w:r>
        <w:t>IT: TF 7B 555/2023 del 5 dicembre 2023</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d'une part, que la plainte pénale était tardive en tant qu'elle concernait des faits s'étant déroulés le 4 juin 2022 et, d'autre part, que les faits s'étant produits le 5 juin 2022 ne réalisaient manifestement pas les éléments constitutifs d'une infraction. Le Ministère public était dès lors fondé à rendre une ordonnance de non-entrée en matière (cf. art. 310 al. 1 let. a et b CPP ). Le recours étant manifestement dénué de chances de succès, la requête d'assistance judiciaire devait être rejetée et les frais de la procédure de recours mis à la charge du recourant (cf. arrêt attaqué, consid. 3.3 ss p. 8 ss).</w:t>
      </w:r>
    </w:p>
    <w:p>
      <w:r>
        <w:rPr>
          <w:b/>
        </w:rPr>
        <w:t>E. 1.3</w:t>
      </w:r>
    </w:p>
    <w:p>
      <w:r>
        <w:t>Face aux motifs de l'arrêt cantonal, le recourant - qui indique recourir uniquement contre la mise à sa charge des frais de la procédure de recours - échoue à mettre en évidence, par une motivation conforme aux exigences en la matière, en quoi l'autorité précédente aurait violé le droit fédéral, soit en particulier l' art. 428 CPP . Il en va de même de tout moyen que le recourant semble vouloir tirer de sa situation personnelle qu'il dit être obérée vraisemblablement pour contester le refus de l'assistance judiciaire, voire encore d'arguments sur le fond quant à l'application de l' art. 310 CPP , l'ensemble de ses griefs n'étant pas motivés à satisfaction de droit.</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