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546/2025 vom 14. August 2025</w:t>
      </w:r>
    </w:p>
    <w:p>
      <w:r>
        <w:t>Bundesgericht, 2025-08-14, DE</w:t>
      </w:r>
    </w:p>
    <w:p>
      <w:r>
        <w:rPr>
          <w:b/>
        </w:rPr>
        <w:t xml:space="preserve">Quelle: </w:t>
      </w:r>
      <w:r>
        <w:t>https://mcp.opencaselaw.ch/entscheid/bger_7B_546_2025</w:t>
      </w:r>
    </w:p>
    <w:p>
      <w:r>
        <w:t>FR: TF 7B 546/2025 du 14 août 2025</w:t>
      </w:r>
    </w:p>
    <w:p>
      <w:r>
        <w:t>IT: TF 7B 546/2025 del 14 agosto 2025</w:t>
      </w:r>
    </w:p>
    <w:p>
      <w:pPr>
        <w:pStyle w:val="Heading2"/>
      </w:pPr>
      <w:r>
        <w:t>Regeste</w:t>
      </w:r>
    </w:p>
    <w:p>
      <w:r>
        <w:t>Strafvollzug (Gutachten); Ausstand | Straf- und Massnahmenvollzug</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w:t>
      </w:r>
    </w:p>
    <w:p>
      <w:r>
        <w:t>Der angefochtene Entscheid einer letzten kantonalen Instanz (vgl. Art. 80 Abs. 1 BGG ) schliesst das Verfahren nicht ab (vgl. Art. 90 BGG ). Es handelt sich indes um einen selbständig eröffneten Zwischenentscheid über ein Ausstandsbegehren, gegen den die Beschwerde nach Art. 92 Abs. 1 BGG zulässig ist. Der Beschwerdeführer ist als verurteilte Person zur Beschwerde legitimiert (vgl. Art. 81 Abs. 1 lit. a und lit. b BGG ). Die Beschwerde in Strafsachen gemäss Art. 78 ff. BGG steht grundsätzlich offen.</w:t>
      </w:r>
    </w:p>
    <w:p>
      <w:r>
        <w:rPr>
          <w:b/>
        </w:rPr>
        <w:t>E. 1.3.1</w:t>
      </w:r>
    </w:p>
    <w:p>
      <w:r>
        <w:t>In tatsächlicher Hinsicht legt das Bundesgericht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das heisst willkürlich - sind oder auf einer Rechtsverletzung im Sinne von Art. 95 BGG beruhen und die Behebung des Mangels für den Verfahrensausgang entscheidend sein kann ( Art. 97 Abs. 1 BGG , Art. 105 Abs. 2 BGG ; BGE 142 I 135 E. 1.6 mit Hinweis).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148 IV 39 E. 2.3.5 mit Hinweisen). Der Beschwerdeführer, welcher die Sachverhaltsfeststellungen der Vorinstanz anfechten will, muss insbesondere auch substanziiert darlegen, inwiefern das Verfahren bei rechtskonformer Ermittlung des Sachverhalts anders ausgegangen wäre ( BGE 140 III 16 E. 1.3.1 mit Hinweisen).</w:t>
      </w:r>
    </w:p>
    <w:p>
      <w:r>
        <w:rPr>
          <w:b/>
        </w:rPr>
        <w:t>E. 1.3.2</w:t>
      </w:r>
    </w:p>
    <w:p>
      <w:r>
        <w:t>Im vorliegenden Fall präsentiert der Beschwerdeführer über mehrere Seiten hinweg eine eigene Sachverhaltsdarstellung (Beschwerde S. 3-5). Dabei behauptet er Tatsachen, welche die Vorinstanz nicht festgestellt hat und hinsichtlich welcher er keine Willkürrüge erhebt (vgl. Art. 97 Abs. 1 BGG , Art. 105 Abs. 1 und Abs. 2 BGG ). Darauf ist nach dem Gesagten von vornherein nicht einzutreten.</w:t>
      </w:r>
    </w:p>
    <w:p>
      <w:r>
        <w:rPr>
          <w:b/>
        </w:rPr>
        <w:t>E. 1.4.1</w:t>
      </w:r>
    </w:p>
    <w:p>
      <w:r>
        <w:t>Mit der Beschwerde in Strafsachen können Rechtsverletzungen nach Art. 95 BGG gerügt werden. Das Bundesgericht wendet das Recht von Amtes wegen an ( Art. 106 Abs. 1 BGG ). Dennoch prüft es grundsätzlich nur die geltend gemachten Rügen, sofern die rechtlichen Mängel nicht geradezu offensichtlich sind ( BGE 147 I 73 E. 2.1; 145 V 57 E. 4.2; je mit Hinweisen). In der Beschwerdeschrift ist daher in gedrängter Form darzulegen, inwiefern der angefochtene Akt Recht verletzt ( Art. 42 Abs. 2 BGG ; vgl. auch Art. 106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148 IV 205 E. 2.6 mit Hinweisen; Urteil 7B_248/2025 vom 7. April 2025 E. 4.2.1).</w:t>
      </w:r>
    </w:p>
    <w:p>
      <w:r>
        <w:rPr>
          <w:b/>
        </w:rPr>
        <w:t>E. 1.4.2</w:t>
      </w:r>
    </w:p>
    <w:p>
      <w:r>
        <w:t>In rechtlicher Hinsicht wiederholt der Beschwerdeführer vor Bundesgericht lediglich den Rechtsstandpunkt, den er bereits im kantonalen Verfahren eingenommen hat. Seine Beschwerde an das Verwaltungsgericht vom 27. Februar 2025 ist praktisch wortgleich mit der nunmehr vor Bundesgericht eingereichten Beschwerde in Strafsachen. Dem angefochtenen Entscheid ist zudem zu entnehmen, dass sich der anwaltlich vertretene Beschwerdeführer bereits vor der Vorinstanz darauf beschränkte, einfach seine Ausführungen aus dem Rekursverfahren zu wiederholen. Die erforderliche sachbezogene Auseinandersetzung mit der Begründung des angefochtenen Entscheids fehlt bei einer solchen Vorgehensweise naturgemäss gänzlich. Dass und inwiefern die vorinstanzlichen Erwägungen mangelhaft wären, lässt sich auf diese Weise nicht begründen. Die Beschwerde genügt damit den gesetzlichen Begründungsanforderungen auch in dieser Hinsicht nicht.</w:t>
      </w:r>
    </w:p>
    <w:p>
      <w:r>
        <w:rPr>
          <w:b/>
        </w:rPr>
        <w:t>E. 1.5</w:t>
      </w:r>
    </w:p>
    <w:p>
      <w:r>
        <w:t>Auf die Beschwerde ist mangels hinreichender Begründung nicht einzutreten.</w:t>
      </w:r>
    </w:p>
    <w:p>
      <w:r>
        <w:rPr>
          <w:b/>
        </w:rPr>
        <w:t>E. 2</w:t>
      </w:r>
    </w:p>
    <w:p>
      <w:r>
        <w:t>Bei diesem Ausgang des Verfahrens wird der Beschwerdeführer kostenpflichtig ( Art. 66 Abs. 1 BGG ). Das Gesuch um unentgeltliche Rechtspflege ist wegen Aussichtslosigkeit abzuweisen ( Art. 64 Abs. 1 BGG ). Der finanziellen Lage des Beschwerdeführers ist bei der Bemessung der Gerichtskosten Rechnung zu tragen ( Art. 65 Abs. 2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