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7B_542/2024 vom 25. Juni 2024</w:t>
      </w:r>
    </w:p>
    <w:p>
      <w:r>
        <w:t>Bundesgericht, 2024-06-25, DE</w:t>
      </w:r>
    </w:p>
    <w:p>
      <w:r>
        <w:rPr>
          <w:b/>
        </w:rPr>
        <w:t xml:space="preserve">Quelle: </w:t>
      </w:r>
      <w:r>
        <w:t>https://mcp.opencaselaw.ch/entscheid/bger_7B_542_2024</w:t>
      </w:r>
    </w:p>
    <w:p>
      <w:r>
        <w:t>FR: TF 7B_542/2024 du 25 juin 2024</w:t>
      </w:r>
    </w:p>
    <w:p>
      <w:r>
        <w:t>IT: TF 7B_542/2024 del 25 giugno 2024</w:t>
      </w:r>
    </w:p>
    <w:p>
      <w:pPr>
        <w:pStyle w:val="Heading2"/>
      </w:pPr>
      <w:r>
        <w:t>Erwägungen</w:t>
      </w:r>
    </w:p>
    <w:p>
      <w:r>
        <w:rPr>
          <w:b/>
        </w:rPr>
        <w:t>E. 1</w:t>
      </w:r>
    </w:p>
    <w:p>
      <w:r>
        <w:t>Die Beschwerdeführerin erhob am 19. März 2024 Beschwerde gegen die Einstellungsverfügung des Untersuchungsamts St. Gallen vom 13. März 2024. Auf eine dagegen gerichtete Beschwerde trat die Anklagekammer des Kantonsgerichts St. Gallen mit Beschluss vom 2. Mai 2024 nicht ein, wogegen sich die Beschwerdeführerin mit Beschwerde vom 16. März 2024 ans Bundesgericht wendet.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3</w:t>
      </w:r>
    </w:p>
    <w:p>
      <w:r>
        <w:t>Die Beschwerdeführerin legt nicht ansatzweise dar, was an den vorinstanzlichen Erwägungen in tatsächlicher oder rechtlicher Hinsicht fehlerhaft sein sollte. Die Vorinstanz war nicht auf die Beschwerde eingetreten, da die Beschwerdeführerin es unterlassen hatte, trotz entsprechender Aufforderung innert Frist Sicherheit zu leisten und eine den gesetzlichen Anforderungen genügende Eingabe einzureichen. Die kaum nachvollziehbaren Ausführungen der Beschwerdeführerin beziehen sich mehrheitlich nicht auf diesen Verfahrensgegenstand (vgl. Art. 80 Abs. 1 BGG ) und setzen sich nicht mit den Erwägungen der Vorinstanz auseinander. Dass diese gegen das geltende Recht im Sinne von Art. 95 BGG verstossen haben könnte legt die Beschwerdeführerin nicht dar und ist ferner nicht ersichtlich. Auch auf die Beschwerdelegitimation bzw. einen der Beschwerdeführerin mutmasslich zustehenden Zivilanspruch wird in der Beschwerde mit keinem Wort eingegangen. Insgesamt vermag die Beschwerdeführerin den Begründungsanforderungen nicht zu genügen. Der Begründungsmangel ist offensichtlich, auf die Beschwerde ist nicht einzutreten ( Art. 108 Abs. 1 lit. b BGG ).</w:t>
      </w:r>
    </w:p>
    <w:p>
      <w:r>
        <w:rPr>
          <w:b/>
        </w:rPr>
        <w:t>E. 4</w:t>
      </w:r>
    </w:p>
    <w:p>
      <w:r>
        <w:t>Die Gerichtskosten von Fr. 800.-- werden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