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7B_536/2025 vom 10. März 2026</w:t>
      </w:r>
    </w:p>
    <w:p>
      <w:r>
        <w:t>Bundesgericht, 2026-03-10, DE</w:t>
      </w:r>
    </w:p>
    <w:p>
      <w:r>
        <w:rPr>
          <w:b/>
        </w:rPr>
        <w:t xml:space="preserve">Quelle: </w:t>
      </w:r>
      <w:r>
        <w:t>https://mcp.opencaselaw.ch/entscheid/bger_7B_536_2025</w:t>
      </w:r>
    </w:p>
    <w:p>
      <w:r>
        <w:t>FR: TF 7B_536/2025 du 10 mars 2026</w:t>
      </w:r>
    </w:p>
    <w:p>
      <w:r>
        <w:t>IT: TF 7B_536/2025 del 10 marzo 2026</w:t>
      </w:r>
    </w:p>
    <w:p>
      <w:pPr>
        <w:pStyle w:val="Heading2"/>
      </w:pPr>
      <w:r>
        <w:t>Erwägungen</w:t>
      </w:r>
    </w:p>
    <w:p>
      <w:r>
        <w:rPr>
          <w:b/>
        </w:rPr>
        <w:t>E. 1.1</w:t>
      </w:r>
    </w:p>
    <w:p>
      <w:r>
        <w:t>Angefochten ist ein nach Art. 248a StPO kantonal letztinstanzlicher Entscheid eines Zwangsmassnahmengerichts. Dagegen steht gemäss Art. 80 Abs. 2 Satz 3 BGG die Beschwerde in Strafsachen an das Bundesgericht nach Art. 78 ff. BGG grundsätzlich offen.</w:t>
      </w:r>
    </w:p>
    <w:p>
      <w:r>
        <w:rPr>
          <w:b/>
        </w:rPr>
        <w:t>E. 1.2</w:t>
      </w:r>
    </w:p>
    <w:p>
      <w:r>
        <w:t>Der angefochtene Entsiegelungsentscheid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mit Hinweisen). Woraus sich der nicht wieder gutzumachende Nachteil ergeben soll, ist in der Beschwerdeschrift darzulegen, sofern es nicht offensichtlich ist ( BGE 150 III 248 E. 1.2 mit Hinweisen).</w:t>
      </w:r>
    </w:p>
    <w:p>
      <w:r>
        <w:rPr>
          <w:b/>
        </w:rPr>
        <w:t>E. 1.3</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 BGE 151 IV 344 E. 2.2 mit Hinweisen). Werden dagegen (lediglich) andere Beschlagnahmehindernisse wie insbesondere ein nicht hinreichender Tatverdacht oder ein mangelnder Deliktskonnex geltend gemacht, fehlt es grundsätzlich am nicht wieder gutzumachenden Nachteil (so etwa Urteil 7B_624/2025 vom 16. Februar 2026 E. 1.4 mit Hinweis).</w:t>
      </w:r>
    </w:p>
    <w:p>
      <w:r>
        <w:rPr>
          <w:b/>
        </w:rPr>
        <w:t>E. 1.4</w:t>
      </w:r>
    </w:p>
    <w:p>
      <w:r>
        <w:t>Der anwaltlich vertretene Beschwerdeführer äussert sich nicht zu den Eintretensvoraussetzungen gemäss Art. 93 Abs. 1 lit. a BGG . Er führt insbesondere nicht aus, inwiefern ihm durch den angefochtenen Entscheid ein nicht wieder gutzumachender Nachteil rechtlicher Natur entstehen könnte. Er macht zwar geltend, er sei Treuhänder und unterstehe der "Schweigepflicht". Er legt aber weder nachvollziehbar dar noch ist ersichtlich, inwiefern die im sichergestellten Umschlag befindlichen "Urkunden aus dem Geschäftsverkehr mit seinen Mandanten"</w:t>
      </w:r>
    </w:p>
    <w:p>
      <w:r>
        <w:t>persönliche Aufzeichnungen oder Korrespondenz im Sinne von Art. 264 Abs. 1 lit. b StPO darstellen sollen. Zudem übersieht er, dass allfällige Geschäftsgeheimnisse nicht mehr unter die gesetzlichen Geheimnisschutzgründe fallen (vgl. BGE 151 IV 175 E. 2.4.2; 151 IV 30 E. 2.4). Die Voraussetzungen für einen selbständigen Weiterzug des angefochtenen Zwischenentscheids vom 13. Mai 2025 an das Bundesgericht sind damit nicht erfüllt.</w:t>
      </w:r>
    </w:p>
    <w:p>
      <w:r>
        <w:rPr>
          <w:b/>
        </w:rPr>
        <w:t>E. 1.5</w:t>
      </w:r>
    </w:p>
    <w:p>
      <w:r>
        <w:t>Soweit der Beschwerdeführer im Übrigen vorbringt, der Umschlag sei nicht ordentlich gesiegelt worden, weshalb eine Entsiegelung unzulässig sei, macht er lediglich ein anderes, allgemeines Beschlagnahmehindernis geltend, das für sich alleine nicht zur Anrufung des Bundesgerichts berechtigt.</w:t>
      </w:r>
    </w:p>
    <w:p>
      <w:r>
        <w:rPr>
          <w:b/>
        </w:rPr>
        <w:t>E. 2</w:t>
      </w:r>
    </w:p>
    <w:p>
      <w:r>
        <w:t>Auf die Beschwerde ist nicht einzutreten. 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