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7B_535/2024 vom 3. Juni 2024</w:t>
      </w:r>
    </w:p>
    <w:p>
      <w:r>
        <w:t>Bundesgericht, 2024-06-03, DE</w:t>
      </w:r>
    </w:p>
    <w:p>
      <w:r>
        <w:rPr>
          <w:b/>
        </w:rPr>
        <w:t xml:space="preserve">Quelle: </w:t>
      </w:r>
      <w:r>
        <w:t>https://mcp.opencaselaw.ch/entscheid/bger_7B_535_2024</w:t>
      </w:r>
    </w:p>
    <w:p>
      <w:r>
        <w:t>FR: TF 7B_535/2024 du 3 juin 2024</w:t>
      </w:r>
    </w:p>
    <w:p>
      <w:r>
        <w:t>IT: TF 7B_535/2024 del 3 giugno 2024</w:t>
      </w:r>
    </w:p>
    <w:p>
      <w:pPr>
        <w:pStyle w:val="Heading2"/>
      </w:pPr>
      <w:r>
        <w:t>Erwägungen</w:t>
      </w:r>
    </w:p>
    <w:p>
      <w:r>
        <w:rPr>
          <w:b/>
        </w:rPr>
        <w:t>E. 3.1</w:t>
      </w:r>
    </w:p>
    <w:p>
      <w:r>
        <w:t>Nach dem Vorangegangenen ist die Beschwerde teilweise gutzuheissen. Die angefochtene Verfügung ist aufzuheben und die Sache zu neuer Entscheidung an die Vorinstanz zurückzuweisen. Diese wird nach Gewährung des rechtlichen Gehörs in Nachachtung des besonderen Beschleunigungsgebots in Haftsachen (Art. 5 Abs. 2 i.V.m. Art. 233 StPO ) unverzüglich neu zu entscheiden haben, ob die strafprozessualen Haftvoraussetzungen erfüllt sind.</w:t>
      </w:r>
    </w:p>
    <w:p>
      <w:r>
        <w:rPr>
          <w:b/>
        </w:rPr>
        <w:t>E. 3.2</w:t>
      </w:r>
    </w:p>
    <w:p>
      <w:r>
        <w:t>Da die materiell-rechtliche Prüfung der Beschwerde unterbleibt, ist der Hauptantrag des Beschwerdeführers auf Haftentlassung abzuweisen ( BGE 125 I 113 E. 3; Urteile 7B_984/2023 vom 8. Januar 2024 E. 3.2.2 mit Hinweis; 1B_89/2008 vom 28. April 2008 E. 5).</w:t>
      </w:r>
    </w:p>
    <w:p>
      <w:r>
        <w:rPr>
          <w:b/>
        </w:rPr>
        <w:t>E. 3.3</w:t>
      </w:r>
    </w:p>
    <w:p>
      <w:r>
        <w:t>Bei diesem Verfahrensausgang obsiegt der Beschwerdeführer teilweise. Insoweit wird das Gesuch um unentgeltliche Rechtspflege und Verbeiständung gegenstandslos. Im Zusammenhang mit dem Rechtsbegehren der Haftentlassung ist ihm die unentgeltliche Rechtspflege zu gewähren (vgl. Art. 64 BGG ). Angesichts der Umstände sind für das bundesgerichtliche Verfahren keine Kosten zu erheben ( Art. 66 Abs. 1 und Abs. 4 BGG ). Der Kanton Zürich hat dem Beschwerdeführer eine reduzierte Parteientschädigung zu entrichten (vgl. Art. 68 BGG ). Diese ist praxisgemäss seinem Rechtsvertreter zu bezahlen. Im Übrigen ist der Rechtsvertreter des Beschwerdeführers aus der Bundesgerichtskasse zu entschädigen ( Art. 64 Abs. 2 BGG i.V.m.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