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532/2024 vom 20. August 2024</w:t>
      </w:r>
    </w:p>
    <w:p>
      <w:r>
        <w:t>Bundesgericht, 2024-08-20, DE</w:t>
      </w:r>
    </w:p>
    <w:p>
      <w:r>
        <w:rPr>
          <w:b/>
        </w:rPr>
        <w:t xml:space="preserve">Quelle: </w:t>
      </w:r>
      <w:r>
        <w:t>https://mcp.opencaselaw.ch/entscheid/bger_7B_532_2024</w:t>
      </w:r>
    </w:p>
    <w:p>
      <w:r>
        <w:t>FR: TF 7B 532/2024 du 20 août 2024</w:t>
      </w:r>
    </w:p>
    <w:p>
      <w:r>
        <w:t>IT: TF 7B 532/2024 del 20 agosto 2024</w:t>
      </w:r>
    </w:p>
    <w:p>
      <w:pPr>
        <w:pStyle w:val="Heading2"/>
      </w:pPr>
      <w:r>
        <w:t>Regeste</w:t>
      </w:r>
    </w:p>
    <w:p>
      <w:r>
        <w:t>Nichtanhandnahme | Strafprozess</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1 Abs. 1 lit. b Ziff. 5 BGG insbesondere die Privatklägerschaft. 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 Die Beschwerdeführerin wendet sich gegen das Nichteintreten durch die Vorinstanz. Sie macht mit ihrer Beschwerde eine formelle Rechtsverweigerung durch die Vorinstanz geltend. Die Beschwerde wurde fristgerecht ( Art. 100 BGG ) gegen einen Entscheid einer letzten kantonalen Instanz ( Art. 80 BGG ) betreffend eine Strafsache ( Art. 78 BGG ) eingereicht.</w:t>
      </w:r>
    </w:p>
    <w:p>
      <w:r>
        <w:rPr>
          <w:b/>
        </w:rPr>
        <w:t>E. 1.2</w:t>
      </w:r>
    </w:p>
    <w:p>
      <w:r>
        <w:t>Die Beschwerdeführerin stellt in der Hauptsache einen rein kassatorischen Antrag (vgl. dazu Art. 107 Abs. 2 BGG und Art. 42 Abs. 1 BGG sowie BGE 137 II 313 E. 1.3; Urteil 6B_210/2021 vom 24. März 2022 E. 1, nicht publ. in: BGE 148 IV 205 ; je mit Hinweisen, wonach ein solcher Antrag in der Regel nicht ausreicht). Aus ihrer Beschwerdebegründung ergibt sich, dass sie eine materielle Beurteilung ihrer Rechtssache durch die Vorinstanz anstrebt. Auf die Beschwerde ist, unter Vorbehalt nachfolgender Erwägungen, grundsätzlich einzutreten.</w:t>
      </w:r>
    </w:p>
    <w:p>
      <w:r>
        <w:rPr>
          <w:b/>
        </w:rPr>
        <w:t>E. 1.3</w:t>
      </w:r>
    </w:p>
    <w:p>
      <w:r>
        <w:t>Auf das von der Beschwerdeführerin bei der Vorinstanz am 29. April 2024 eingereichte Wiedererwägungsgesuch ist nicht einzugehen. Dabei handelt es sich um ein echtes Novum, welches nach dem angefochtenen Entscheid datiert ( Art. 99 Abs. 1 BGG e contrario).</w:t>
      </w:r>
    </w:p>
    <w:p>
      <w:r>
        <w:rPr>
          <w:b/>
        </w:rPr>
        <w:t>E. 2.1</w:t>
      </w:r>
    </w:p>
    <w:p>
      <w:r>
        <w:t>Die Beschwerdeführerin macht geltend, sie habe der Vorinstanz eine gültige Vollmacht eingereicht. Die Vollmacht für den Prozess vor Handelsgericht vom 30. Januar 2023 beinhalte auch die Prozessführung in Strafsachen. Zudem habe sie am 29. Februar 2024 eine Zusatzvollmacht eingereicht.</w:t>
      </w:r>
    </w:p>
    <w:p>
      <w:r>
        <w:rPr>
          <w:b/>
        </w:rPr>
        <w:t>E. 2.2</w:t>
      </w:r>
    </w:p>
    <w:p>
      <w:r>
        <w:t>Die Vorinstanz führt aus, die Beschwerdeführerin habe mit der Beschwerde sowie auf die Verfügung vom 30. November 2024 [recte: 2023] hin zweimal dieselbe Vollmacht datierend vom 30. Januar 2023 eingereicht, nämlich jene, welche ihren Rechtsvertreter zur Teilklage gegen die B.________ AG in Liquidation über höchstens Fr. 50'000.-- beim Handelsgericht des Kantons Zürich bevollmächtige. Diese Umschreibung des Auftrags gehe den im Vollmachtsformular allgemeinen standardmässig aufgeführten Rechtshandlungen vor. Zudem sei darin das Ergreifen von Rechtsmitteln ausdrücklich ausgeschlossen worden (angefochtene Verfügung S. 4).</w:t>
      </w:r>
    </w:p>
    <w:p>
      <w:r>
        <w:rPr>
          <w:b/>
        </w:rPr>
        <w:t>E. 2.3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2.4</w:t>
      </w:r>
    </w:p>
    <w:p>
      <w:r>
        <w:t>Die Beschwerdeführerin erhebt keine Willkürrüge. Abgesehen davon genügen ihre Ausführungen, mit welchen sie den vorinstanzlichen Sachverhalt implizit bestreitet, nicht, um Willkür zu begründen. Insbesondere besteht keine Zustellbestätigung für den von ihr eingereichten Begleitbrief vom 29. Februar 2024, mit welchem sie die Vollmacht vom selben Datum eingereicht haben will. Denn dieser Brief soll gemäss dem darauf angebrachten Vermerk per A-Post aufgegeben worden sein - anders als die weiteren Eingaben der Beschwerdeführerin an die Vorinstanz, welche entweder eingeschrieben zugestellt oder persönlich gegen Empfangsbestätigung überbracht worden waren. Insoweit ist vom vorinstanzlich festgestellten Sachverhalt auszugehen, wonach die Beschwerdeführerin der Vorinstanz lediglich zweimal dieselbe Vollmacht vom 30. Januar 2023 für das Verfahren vor Handelsgericht Zürich eingereicht hat.</w:t>
      </w:r>
    </w:p>
    <w:p>
      <w:r>
        <w:rPr>
          <w:b/>
        </w:rPr>
        <w:t>E. 3</w:t>
      </w:r>
    </w:p>
    <w:p>
      <w:r>
        <w:t>Zur Würdigung der Vollmacht vom 30. Januar 2023 kann vollumfänglich auf die vorinstanzlichen Erwägungen verwiesen werden.</w:t>
      </w:r>
    </w:p>
    <w:p>
      <w:r>
        <w:rPr>
          <w:b/>
        </w:rPr>
        <w:t>E. 4</w:t>
      </w:r>
    </w:p>
    <w:p>
      <w:r>
        <w:t>Die Beschwerde ist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