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7B_530/2024 vom 11. Juni 2024</w:t>
      </w:r>
    </w:p>
    <w:p>
      <w:r>
        <w:t>Bundesgericht, 2024-06-11, DE</w:t>
      </w:r>
    </w:p>
    <w:p>
      <w:r>
        <w:rPr>
          <w:b/>
        </w:rPr>
        <w:t xml:space="preserve">Quelle: </w:t>
      </w:r>
      <w:r>
        <w:t>https://mcp.opencaselaw.ch/entscheid/bger_7B_530_2024</w:t>
      </w:r>
    </w:p>
    <w:p>
      <w:r>
        <w:t>FR: TF 7B_530/2024 du 11 juin 2024</w:t>
      </w:r>
    </w:p>
    <w:p>
      <w:r>
        <w:t>IT: TF 7B_530/2024 del 11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7B_530/2024</w:t>
      </w:r>
    </w:p>
    <w:p>
      <w:r>
        <w:t>Urteil vom 11. Juni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die Verfügung des Obergerichts des Kantons Bern, Beschwerdekammer in Strafsachen, vom 19. April 2024 (BK 24 163 MOR).</w:t>
      </w:r>
    </w:p>
    <w:p>
      <w:r>
        <w:t>Nach Einsicht</w:t>
      </w:r>
    </w:p>
    <w:p>
      <w:r>
        <w:t>in die Verfügung des Obergerichts des Kantons Bern vom 19. April 2024 in der rubrizierten Angelegenheit;</w:t>
      </w:r>
    </w:p>
    <w:p>
      <w:r>
        <w:t>in die vom Beschwerdeführer gegen diesen Entscheid erhobene Beschwerde vom 7. Mai 2024 (Postaufgabe);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 Gerichtskosten dem Beschwerdeführer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den Parteien und dem Obergericht des Kantons Bern, Beschwerdekammer in Strafsachen, schriftlich mitgeteilt.</w:t>
      </w:r>
    </w:p>
    <w:p>
      <w:r>
        <w:t>Lausanne, 11. Juni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