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7B_525/2024 vom 20. Juni 2024</w:t>
      </w:r>
    </w:p>
    <w:p>
      <w:r>
        <w:t>Bundesgericht, 2024-06-20, FR</w:t>
      </w:r>
    </w:p>
    <w:p>
      <w:r>
        <w:rPr>
          <w:b/>
        </w:rPr>
        <w:t xml:space="preserve">Quelle: </w:t>
      </w:r>
      <w:r>
        <w:t>https://mcp.opencaselaw.ch/entscheid/bger_7B_525_2024</w:t>
      </w:r>
    </w:p>
    <w:p>
      <w:r>
        <w:t>FR: TF 7B_525/2024 du 20 juin 2024</w:t>
      </w:r>
    </w:p>
    <w:p>
      <w:r>
        <w:t>IT: TF 7B_525/2024 del 20 giugno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1.2</w:t>
      </w:r>
    </w:p>
    <w:p>
      <w:r>
        <w:t>En l'espèce, la cour cantonale a considéré que le recours cantonal était irrecevable, dès lors qu'il ne satisfaisait pas aux exigences de motivation prescrites par l' art. 385 CPP , à défaut de contenir toute motivation. Par surabondance, elle a relevé que l'ordonnance de non-entrée en matière du 9 février 2024 était bien fondée, dans la mesure où les conditions de l' art. 310 al. 1 CPP étaient réalisées (cf. arrêt attaqué, consid. 1.3 et 2 p. 4 s.).</w:t>
      </w:r>
    </w:p>
    <w:p>
      <w:r>
        <w:rPr>
          <w:b/>
        </w:rPr>
        <w:t>E. 1.3</w:t>
      </w:r>
    </w:p>
    <w:p>
      <w:r>
        <w:t>Face à la motivation cantonale, la recourante se borne à alléguer des faits et à invoquer des arguments qui se rapportent au bien-fondé de l'ordonnance de non-entrée en matière litigieuse, sans formuler aucun grief en lien avec la recevabilité de son acte de recours cantonal et l'application faite par l'autorité précédente de l' art. 385 CPP . Ce faisant, elle ne critique pas, par une motivation conforme aux exigences en la matière, le motif principal évoqué par la cour cantonale et qui, à lui seul, fondait l'irrecevabilité de son recours cantonal.</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