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7B_524/2024 vom 27. Juni 2024</w:t>
      </w:r>
    </w:p>
    <w:p>
      <w:r>
        <w:t>Bundesgericht, 2024-06-27, FR</w:t>
      </w:r>
    </w:p>
    <w:p>
      <w:r>
        <w:rPr>
          <w:b/>
        </w:rPr>
        <w:t xml:space="preserve">Quelle: </w:t>
      </w:r>
      <w:r>
        <w:t>https://mcp.opencaselaw.ch/entscheid/bger_7B_524_2024</w:t>
      </w:r>
    </w:p>
    <w:p>
      <w:r>
        <w:t>FR: TF 7B_524/2024 du 27 juin 2024</w:t>
      </w:r>
    </w:p>
    <w:p>
      <w:r>
        <w:t>IT: TF 7B_524/2024 del 27 giugno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expose qu'il a participé à la procédure cantonale en qualité de partie plaignante et que, s'étant constitué demandeur sur les plans civil et pénal, il a requis l'ouverture d'une instruction pour des actes de blanchiment d'argent au sens de l' art. 305bis ch. 3 CP , lesquels auraient été commis dans le cadre de la succession de feu sa mère. Il ajoute que l'instruction pénale aurait permis "de faire la lumière sur l'étendue de la succession de feu sa mère" et partant sur ses prétentions civiles.</w:t>
      </w:r>
    </w:p>
    <w:p>
      <w:r>
        <w:rPr>
          <w:b/>
        </w:rPr>
        <w:t>E. 1.3</w:t>
      </w:r>
    </w:p>
    <w:p>
      <w:r>
        <w:t>Cela étant, le recourant ne s'exprime, par une motivation conforme aux exigences en la matière, ni sur le principe ni sur la quotité d'un éventuel dommage dont il pourrait demander la réparation en raison des actes de blanchiment d'argent dénoncés dans sa plainte pénale du 7 février 2023, respectivement des opérations bancaires effectuées par son demi-frère prétendument dans le but de dissimuler des avoirs de leur défunte mère. Il ne livre aucune explication sur les raisons qui l'empêcheraient, plus de dix ans après les faits dénoncés, de motiver plus avant ses éventuelles prétentions civiles et de les chiffrer. On ne peut en outre pas déduire, directement et sans ambiguïté, de la nature de l'infraction alléguée quelles seraient concrètement les prétentions civiles que le recourant pourrait faire valoir dans le procès pénal. Enfin, ce dernier n'explique pas en quoi il pourrait introduire une action civile dans le procès pénal, alors qu'une procédure successorale l'oppose à son demi-frère en France (cf. arrêt 7B_10/2021 du 26 juillet 2023 consid. 1.1.1 et les réf. citées).</w:t>
      </w:r>
    </w:p>
    <w:p>
      <w:r>
        <w:t>Sa motivation sur la question des prétentions civiles, manifestement insuffisante, exclut dès lors sa qualité pour recourir sur le fond de la cause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