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7B_51/2025 vom 4. Februar 2025</w:t>
      </w:r>
    </w:p>
    <w:p>
      <w:r>
        <w:t>Bundesgericht, 2025-02-04, FR</w:t>
      </w:r>
    </w:p>
    <w:p>
      <w:r>
        <w:rPr>
          <w:b/>
        </w:rPr>
        <w:t xml:space="preserve">Quelle: </w:t>
      </w:r>
      <w:r>
        <w:t>https://mcp.opencaselaw.ch/entscheid/bger_7B_51_2025</w:t>
      </w:r>
    </w:p>
    <w:p>
      <w:r>
        <w:t>FR: TF 7B_51/2025 du 4 février 2025</w:t>
      </w:r>
    </w:p>
    <w:p>
      <w:r>
        <w:t>IT: TF 7B_51/2025 del 4 febbraio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En l'espèce, la cour cantonale a constaté que la recourante n'avait pas versé, dans le délai imparti, les sûretés qu'elle avait été astreinte à fournir. Elle n'avait pas non plus demandé de prolongation ou de restitution du délai, ni le bénéfice de l'assistance judiciaire ou une dispense d'avance de frais. Partant, l'autorité précédente a déclaré le recours irrecevable en application de l' art. 383 al. 2 CPP .</w:t>
      </w:r>
    </w:p>
    <w:p>
      <w:r>
        <w:rPr>
          <w:b/>
        </w:rPr>
        <w:t>E. 1.3</w:t>
      </w:r>
    </w:p>
    <w:p>
      <w:r>
        <w:t>Face à la motivation cantonale, la recourante se borne à indiquer être surprise de la demande de la direction de la procédure de verser un dépôt de 770 fr. à titre de sûretés "alors que son complément de plainte était accompagné de preuves solides"; elle estime injuste de devoir s'acquitter d'un tel montant. Ce faisant, la recourante échoue à mettre en évidence, par une motivation conforme aux exigences en la matière, en quoi l'autorité précédente - dont l'arrêt est fondé sur une base légale claire (soit l' art. 383 CPP ) - aurait violé le droit en déclarant son recours irrecevable.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 La recourante, qui succombe, supportera les frais judiciaires ( art. 66 al. 1 LTF ). Sa demande de dispense de l'avance de frais, dans la mesure où elle vaudrait requête d'assistance judiciaire, doit être rejetée dès lors que le recours était d'emblée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