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7B_517/2026 vom 12. Mai 2026</w:t>
      </w:r>
    </w:p>
    <w:p>
      <w:r>
        <w:t>Bundesgericht, 2026-05-12, DE</w:t>
      </w:r>
    </w:p>
    <w:p>
      <w:r>
        <w:rPr>
          <w:b/>
        </w:rPr>
        <w:t xml:space="preserve">Quelle: </w:t>
      </w:r>
      <w:r>
        <w:t>https://mcp.opencaselaw.ch/entscheid/bger_7B_517_2026</w:t>
      </w:r>
    </w:p>
    <w:p>
      <w:r>
        <w:t>FR: TF 7B_517/2026 du 12 mai 2026</w:t>
      </w:r>
    </w:p>
    <w:p>
      <w:r>
        <w:t>IT: TF 7B_517/2026 del 12 maggio 2026</w:t>
      </w:r>
    </w:p>
    <w:p>
      <w:pPr>
        <w:pStyle w:val="Heading2"/>
      </w:pPr>
      <w:r>
        <w:t>Erwägungen</w:t>
      </w:r>
    </w:p>
    <w:p>
      <w:r>
        <w:rPr>
          <w:b/>
        </w:rPr>
        <w:t>E. 1.1</w:t>
      </w:r>
    </w:p>
    <w:p>
      <w:r>
        <w:t>Das Kriminalgericht Luzern sprach A.________ mit Urteil vom 14. November 2025 schuldig wegen mehrfacher versuchter eventualvorsätzlicher Tötung in Notwehrexzess und verurteilte ihn zu einer Freiheitsstrafe von fünf Jahren und acht Monaten. Auf Berufung von A.________ hin verlängerte das Kantonsgericht die Sicherheitshaft für die Dauer des Berufungsverfahrens. Am 17. März 2026 ersuchte A.________ um Haftentlassung, die das Kantonsgericht Luzern mit Verfügung vom 26. März 2026 abwies.</w:t>
      </w:r>
    </w:p>
    <w:p>
      <w:r>
        <w:rPr>
          <w:b/>
        </w:rPr>
        <w:t>E. 1.2</w:t>
      </w:r>
    </w:p>
    <w:p>
      <w:r>
        <w:t>Mit Eingabe vom 20. April 2026 führt A.________ Beschwerde in Strafsachen gegen die Verfügung des Kantonsgericht betreffend Haft</w:t>
      </w:r>
    </w:p>
    <w:p>
      <w:r>
        <w:rPr>
          <w:b/>
        </w:rPr>
        <w:t>E. 1.3</w:t>
      </w:r>
    </w:p>
    <w:p>
      <w:r>
        <w:t>entlassung aus der Sicherheitshaft.</w:t>
      </w:r>
    </w:p>
    <w:p>
      <w:r>
        <w:rPr>
          <w:b/>
        </w:rPr>
        <w:t>E. 2</w:t>
      </w:r>
    </w:p>
    <w:p>
      <w:r>
        <w:t>Der Beschwerdeführer setzt sich mit den Erwägungen der Vorinstanz nicht ansatzweise auseinander. Er bringt zusammengefasst einzig vor, das Strafverfahren sei nicht korrekt geführt worden, die Polizei sei korrupt und zwischen Staatsanwaltschaft und Gerichten bestehe eine Absprache. Zudem macht er geltend, er könne beweisen, dass andere Personen für die Taten verantwortlich seien. Damit zeigt er jedoch nicht auf, inwiefern die angefochtene Verfügung, mit welcher die Vorinstanz das Haftentlassungsgesuch wegen weiterhin bestehender Fluchtgefahr abwies, Bundesrecht verletzen soll. Die appellatorische Kritik des Beschwerdeführers genügt den gesetzlichen Begründungsanforderungen an eine Beschwerde an das Bundesgericht offensichtlich nicht (vgl. Art. 42 Abs. 2 und Art. 106 Abs. 2 BGG ; BGE 148 IV 356 E. 2.1, 39 E. 2.3.5; je mit Hinweisen).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