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7B_517/2024 vom 13. Juni 2024</w:t>
      </w:r>
    </w:p>
    <w:p>
      <w:r>
        <w:t>Bundesgericht, 2024-06-13, DE</w:t>
      </w:r>
    </w:p>
    <w:p>
      <w:r>
        <w:rPr>
          <w:b/>
        </w:rPr>
        <w:t xml:space="preserve">Quelle: </w:t>
      </w:r>
      <w:r>
        <w:t>https://mcp.opencaselaw.ch/entscheid/bger_7B_517_2024</w:t>
      </w:r>
    </w:p>
    <w:p>
      <w:r>
        <w:t>FR: TF 7B_517/2024 du 13 juin 2024</w:t>
      </w:r>
    </w:p>
    <w:p>
      <w:r>
        <w:t>IT: TF 7B_517/2024 del 13 giugno 2024</w:t>
      </w:r>
    </w:p>
    <w:p>
      <w:pPr>
        <w:pStyle w:val="Heading2"/>
      </w:pPr>
      <w:r>
        <w:t>Erwägungen</w:t>
      </w:r>
    </w:p>
    <w:p>
      <w:r>
        <w:rPr>
          <w:b/>
        </w:rPr>
        <w:t>E. 1</w:t>
      </w:r>
    </w:p>
    <w:p>
      <w:r>
        <w:t>Die Staatsanwaltschaft des Kantons Zürich erhob am 14. August 2023 Anklage gegen A.________ wegen mehrfacher falscher Anschuldigung, mehrfacher versuchter Gewalt und Drohung gegen Behörden und Beamte, mehrfacher Drohung sowie versuchter Nötigung. Während der seit 2016 laufenden Strafuntersuchung verfügte die Oberstaatsanwaltschaft des Kantons Zürich, dass A.________ eine amtliche Verteidigung beigegeben werde. Diese wechselte mehrmals. A.________ stellte am 5. August 2023 den Antrag, sich selbst zu verteidigen. Das Bezirksgericht Bülach wies den Antrag auf Aufhebung der amtlichen Verteidigung am 15. Januar 2024 ab. Dagegen erhob A.________ Beschwerde an das Obergericht des Kantons Zürich, welches mit Beschluss vom 2. April 2024 nicht auf die Beschwerde eintrat.</w:t>
      </w:r>
    </w:p>
    <w:p>
      <w:r>
        <w:t>Mit Eingabe vom 7. Mai 2024 führt A.________ Beschwerde in Strafsachen an das Bundesgericht. Sie beantragt die Aufhebung des Beschlusses vom 2. April 2024 und die Aufhebung der amtlichen Verteidigung. Ihr sei die Selbstverteidigung zu gewähren. Eventualiter sei ein "Zwangs-Anwalt mit bundesgerichtlichem Leistungsnachweis" einzuberufen.</w:t>
      </w:r>
    </w:p>
    <w:p>
      <w:r>
        <w:rPr>
          <w:b/>
        </w:rPr>
        <w:t>E. 2.1</w:t>
      </w:r>
    </w:p>
    <w:p>
      <w:r>
        <w:t>Gemäss Art. 42 Abs. 2 BGG ist in der Begründung einer Beschwerde in gedrängter Form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2.2</w:t>
      </w:r>
    </w:p>
    <w:p>
      <w:r>
        <w:t>Die Beschwerdeführerin setzt sich nicht hinreichend substanziiert mit den Erwägungen der Vorinstanz, die zum Nichteintreten geführt haben, auseinander. Die Vorinstanz verneint das Vorliegen eines nicht wieder gutzumachenden Nachteils. Dagegen wendet die Beschwerdeführerin ein, ihre Anwälte seinen mehrfach kantonal unterlegen, sie habe einen Vermögensschaden erlitten und der "Zusatznutzen" durch eine Zwangsverteidigung sei bisher nicht gegeben. Diese angeblichen Nachteile sind indessen tatsächlicher Natur und stellen keine nicht wieder gutzumachenden Nachteile dar (vgl. BGE 148 IV 155 E. 1.1). Auch mit ihren übrigen Ausführungen, zum "Sachverhalt", der "Meinungsäusserungsfreiheit", den "Schlussbemerkungen" und "Ich bin ein Friedenstifter" vermag sie nicht nachvollziehbar aufzuzeigen, inwiefern die Vorinstanz mit dem angefochtenen Beschluss tatsächlich gegen das geltende Recht im Sinne von Art. 95 BGG verstossen haben soll, indem sie nicht auf die Beschwerde eingetreten ist. Der Begründungsmangel ( Art. 42 Abs. 2 BGG ) ist offensichtlich, weshalb auf die Beschwerde im Verfahren nach Art. 108 BGG nicht einzutreten ist.</w:t>
      </w:r>
    </w:p>
    <w:p>
      <w:r>
        <w:rPr>
          <w:b/>
        </w:rPr>
        <w:t>E. 3</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