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7B_516/2025 vom 23. September 2025</w:t>
      </w:r>
    </w:p>
    <w:p>
      <w:r>
        <w:t>Bundesgericht, 2025-09-23, DE</w:t>
      </w:r>
    </w:p>
    <w:p>
      <w:r>
        <w:rPr>
          <w:b/>
        </w:rPr>
        <w:t xml:space="preserve">Quelle: </w:t>
      </w:r>
      <w:r>
        <w:t>https://mcp.opencaselaw.ch/entscheid/bger_7B_516_2025</w:t>
      </w:r>
    </w:p>
    <w:p>
      <w:r>
        <w:t>FR: TF 7B_516/2025 du 23 septembre 2025</w:t>
      </w:r>
    </w:p>
    <w:p>
      <w:r>
        <w:t>IT: TF 7B_516/2025 del 23 settembre 2025</w:t>
      </w:r>
    </w:p>
    <w:p>
      <w:pPr>
        <w:pStyle w:val="Heading2"/>
      </w:pPr>
      <w:r>
        <w:t>Erwägungen</w:t>
      </w:r>
    </w:p>
    <w:p>
      <w:r>
        <w:rPr>
          <w:b/>
        </w:rPr>
        <w:t>E. 1</w:t>
      </w:r>
    </w:p>
    <w:p>
      <w:r>
        <w:t>Das Bundesgericht prüft von Amtes wegen ( Art. 29 Abs. 1 BGG ) und mit freier Kognition, ob eine eingereichte Beschwerde zulässig ist ( BGE 150 IV 103 E. 1 mit Hinweis).</w:t>
      </w:r>
    </w:p>
    <w:p>
      <w:r>
        <w:rPr>
          <w:b/>
        </w:rPr>
        <w:t>E. 1.1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148 IV 432 E. 3.1.2-3.3; 146 IV 76 E. 3.1; je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mit Hinweisen; Urteil 7B_30/2024 vom 5. März 2024 E. 1.1).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 BGE 136 IV 41 E. 1.4; Urteile 7B_751/2024 vom 27. November 2024 E. 3.1; 7B_219/2023 vom 20. Juni 2024 E. 1.2; je mit Hinweisen).</w:t>
      </w:r>
    </w:p>
    <w:p>
      <w:r>
        <w:rPr>
          <w:b/>
        </w:rPr>
        <w:t>E. 1.2</w:t>
      </w:r>
    </w:p>
    <w:p>
      <w:r>
        <w:t>In der Strafanzeige vom 5. August 2024 warf der Beschwerdeführer dem Beschwerdegegner 2 vor, er (der Beschwerdeführer) sei im damaligen kantonalen Bedrohungsmanagement zu Unrecht als "Gefährder" gelistet worden. Nachdem das Bedrohungsmanagement abgeschafft worden sei, habe er (der Beschwerdeführer) aufgrund der angeblich erlittenen Persönlichkeitsverletzung beim Finanzdepartement des Kantons Schaffhausen Forderungen gegen den Kanton Schaffhausen angemeldet. In der Folge habe am 14. November 2023 auf Initiative des Beschwerdegegners 2 hin ein Vergleichsgespräch stattgefunden. Dabei habe ihm der Beschwerdegegner 2 eine durch den Kanton Schaffhausen zu bezahlende Schadenersatzzahlung von Fr. 20'000.-- und eine Genugtuung von Fr. 2'000.-- angeboten. Der Beschwerdegegner 2 habe allerdings klargemacht, dass eine Genugtuungszahlung nicht als solche ausgewiesen werden dürfe. Er habe dem Beschwerdeführer deshalb vorgeschlagen, die Vereinbarung zu "frisieren" und darin den Gesamtbetrag von Fr. 22'000.-- als Schadenersatz zu deklarieren. Auf dieses Angebot sei er (der Beschwerdeführer) nicht eingegangen.</w:t>
      </w:r>
    </w:p>
    <w:p>
      <w:r>
        <w:rPr>
          <w:b/>
        </w:rPr>
        <w:t>E. 1.2.1</w:t>
      </w:r>
    </w:p>
    <w:p>
      <w:r>
        <w:t>Die Vorinstanz verneint im Hinblick auf den Tatbestand der Urkundenfälschung sowie der Anstiftung dazu die Geschädigtenstellung und damit die Beschwerdelegitimation des Beschwerdeführers und tritt diesbezüglich nicht auf die Beschwerde ein. Die Frage, ob die Vorinstanz zu Recht nicht auf die Beschwerde eingetreten ist, ist einer bundesgerichtlichen Überprüfung zugänglich (vgl. dazu E. 2 hiernach).</w:t>
      </w:r>
    </w:p>
    <w:p>
      <w:r>
        <w:rPr>
          <w:b/>
        </w:rPr>
        <w:t>E. 1.2.2</w:t>
      </w:r>
    </w:p>
    <w:p>
      <w:r>
        <w:t>In Bezug auf den behaupteten Amtsmissbrauch tritt die Vorinstanz auf die Beschwerde ein. Im Beschwerdeverfahren vor dem Bundesgericht obliegt es dem Beschwerdeführer, darzulegen, welche Zivilforderungen er geltend zu machen beabsichtigt. Inwiefern dem Beschwerdeführer in Zusammenhang mit dem behaupteten Amtsmissbrauch Zivilansprüche zustehen könnten, ist allerdings weder dargetan noch ersichtlich. Der Beschwerdeführer führt selbst aus, der Beschwerdegegner 2 habe in Ausübung seiner amtlichen Funktion gehandelt. Beim Beschwerdegegner 2, der vom Beschwerdeführer eines strafbaren Verhaltens beschuldigt wird, handelt es sich um einen Angestellten des Kantons Schaffhausen. Gegen diesen sind Zivilansprüche von vornherein ausgeschlossen (Art. 3 Abs. 1 des Gesetzes vom 23. September 1985 des Kantons Schaffhausen über die Haftung des Staates und der Gemeinden sowie ihrer Behördemitglieder und Arbeitnehmer [Haftungsgesetz; SHR 170.300]). In diesem Umfang kann auf die Beschwerde vorliegend nicht eingetreten werden.</w:t>
      </w:r>
    </w:p>
    <w:p>
      <w:r>
        <w:rPr>
          <w:b/>
        </w:rPr>
        <w:t>E. 2.1</w:t>
      </w:r>
    </w:p>
    <w:p>
      <w:r>
        <w:t>Der Beschwerdeführer rügt eine Verletzung von Art. 382 Abs. 1 StPO . Er ist der Ansicht, die Vorinstanz habe seine Beschwerdelegitimation in Bezug auf ein mögliches Urkundendelikt zu Unrecht verneint. Entscheidend sei, dass der angefochtene Entscheid vorliegend einen direkten Einfluss auf seine Zivilansprüche habe. Denn er mache nebst einer Schadenersatzzahlung auch eine Genugtuung geltend. Hätte er dem Vergleich und mithin der falschen Urkunde zugestimmt, so hätte er auf die ihm zustehende Genugtuung verzichtet. Indem die Vorinstanz nicht auf die Beschwerde eintrete, verwehre sie ihm die Geltendmachung seiner Genugtuungsforderung.</w:t>
      </w:r>
    </w:p>
    <w:p>
      <w:r>
        <w:rPr>
          <w:b/>
        </w:rPr>
        <w:t>E. 2.2</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Urteile 7B_64/2023 vom 17. September 2024 E. 4.1; 6B_968/2018 vom 8. April 2019 E. 2.1; je mit Hinweisen). Der anzeigenden Person, die weder geschädigt noch Privatklägerin ist, stehen keine weitergehenden Verfahrensrechte zu ( Art. 301 Abs. 3 StPO ).</w:t>
      </w:r>
    </w:p>
    <w:p>
      <w:r>
        <w:t>Die Tatbestände des Urkundenstrafrechts ( Art. 251 ff. StGB ) dienen dem Schutz von Sicherheit und Zuverlässigkeit des Rechtsverkehrs mit Urkunden. Sie schützen das besondere Vertrauen, welches von den Teilnehmern am Rechtsverkehr einer Urkunde als Beweismittel entgegengebracht wird. Die Urkundendelikte bezwecken in erster Linie den Schutz der Allgemeinheit. Daneben können auch private Interessen unmittelbar verletzt werden, falls die Urkundenfälschung auf die Benachteiligung einer bestimmten Person abzielt ( BGE 148 IV 170 E. 3.5.1; 140 IV 155 E. 3.3.3; je mit Hinweisen). Dies ist namentlich der Fall, wenn die Urkundenfälschung auf die Verfolgung eines weitergehenden, wirtschaftlichen Zwecks abzielt und insofern als blosse Vorbereitungshandlung eines schädigenden Vermögensdelikts erscheint. Dabei schützt der Tatbestand den Einzelnen davor, durch Scheinerklärungen oder qualifiziert unrichtige Erklärungen getäuscht und dadurch zu nachteiligen rechtserheblichen Dispositionen veranlasst zu werden ( BGE 148 IV 170 E. 3.5.1 mit Hinweisen).</w:t>
      </w:r>
    </w:p>
    <w:p>
      <w:r>
        <w:rPr>
          <w:b/>
        </w:rPr>
        <w:t>E. 2.3</w:t>
      </w:r>
    </w:p>
    <w:p>
      <w:r>
        <w:t>Der Beschwerdeführer legt nicht rechtsgenüglich dar, inwiefern die behauptete Urkundenfälschung auf eine Benachteiligung seiner Person abzielte. Entgegen seiner Behauptung sollte er - nach seinen eigenen Angaben - gemäss der vom Beschwerdegegner 2 vorgeschlagenen Vereinbarung gerade nicht auf eine Genugtuung verzichten. Vielmehr sollte diese an ihn unter einem anderen Titel ausbezahlt werden. Auch ist nicht erkennbar, inwiefern der Beschwerdeführer durch die angezeigte Handlung hätte getäuscht werden können, nahm er doch am Vergleichsgespräch selbst teil und kannte die Details des Vergleichsvorschlags. Schliesslich legt der Beschwerdeführer nicht dar, inwiefern er nachteilige rechtserhebliche Dispositionen getroffen hätte. Insofern hat die Vorinstanz im Ergebnis zu Recht verneint, dass der Beschwerdeführer unmittelbar in seinen Rechten verletzt wurde. Auf die weitergehende Kritik des Beschwerdeführers an den vorinstanzlichen Erwägungen muss damit nicht eingegangen werden. Die Beschwerde ist insoweit unbegründet.</w:t>
      </w:r>
    </w:p>
    <w:p>
      <w:r>
        <w:rPr>
          <w:b/>
        </w:rPr>
        <w:t>E. 3</w:t>
      </w:r>
    </w:p>
    <w:p>
      <w:r>
        <w:t>Die Gerichtskosten sind dem Beschwerdeführer aufzuerlegen ( Art. 66 Abs. 1 BGG ). Da keine Vernehmlassungen eingeholt wurden, ist dem Beschwerdegegner 2 im bundesgerichtlichen Verfahren kein Aufwand entstanden, für den er nach Art. 68 Abs. 2 BGG zu entschädigen wäre. Die Staatsanwaltschaft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