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7B_516/2023 vom 19. Dezember 2023</w:t>
      </w:r>
    </w:p>
    <w:p>
      <w:r>
        <w:t>Bundesgericht, 2023-12-19, DE</w:t>
      </w:r>
    </w:p>
    <w:p>
      <w:r>
        <w:rPr>
          <w:b/>
        </w:rPr>
        <w:t xml:space="preserve">Quelle: </w:t>
      </w:r>
      <w:r>
        <w:t>https://mcp.opencaselaw.ch/entscheid/bger_7B_516_2023</w:t>
      </w:r>
    </w:p>
    <w:p>
      <w:r>
        <w:t>FR: TF 7B_516/2023 du 19 décembre 2023</w:t>
      </w:r>
    </w:p>
    <w:p>
      <w:r>
        <w:t>IT: TF 7B_516/2023 del 19 dicembre 2023</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 wie vorliegend - gegen die Nichtanhandnahme eines Verfahrens, hat die Privatklägerschaft nicht notwendigerweise bereits vor den kantonalen Behörden eine Zivilforderung geltend gemacht. Sie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7B_28/2023 vom 24. Oktober 2023 E. 1.1; 6B_1178/2021 vom 17. Januar 2023 E. 1.1; je mit Hinweisen).</w:t>
      </w:r>
    </w:p>
    <w:p>
      <w:r>
        <w:rPr>
          <w:b/>
        </w:rPr>
        <w:t>E. 1.2</w:t>
      </w:r>
    </w:p>
    <w:p>
      <w:r>
        <w:t>Nach Art. 47 OR kann das Gericht bei Körperverletzung der verletzten Person unter Würdigung der besonderen Umstände eine angemessene Geldsumme als Genugtuung zusprechen. Wer Genugtuung beansprucht, hat neben der immateriellen Unbill im Sinne von Art. 47 OR die widerrechtliche Handlung bzw. Unterlassung trotz Handlungspflicht, den Kausalzusammenhang sowie das Verschulden nach Art. 41 Abs. 1 OR zu beweisen (Urteil 4A_604/2017 vom 30. April 2018 E. 3.1 mit Hinweisen; vgl. insbesondere zur immateriellen Unbill BGE 141 III 97 E. 11.2 mit Hinweisen). Ergibt sich die Rechtswidrigkeit aus der Verletzung eines absoluten Rechts, so hat die geschädigte Person namentlich den - für die widerrechtliche Schädigung kausalen - Mangel an objektiv gebotener Sorgfalt zu belegen ( BGE 146 III 14 E. 5.1; 137 III 539 E. 5.2 mit Hinweisen). Die Sorgfaltswidrigkeit ergibt sich allgemein aus dem Vergleich des tatsächlichen Verhaltens des Schädigers mit dem hypothetischen Verhalten eines durchschnittlich sorgfältigen Menschen in der Situation des Schädigers ( BGE 148 III 343 E. 3.3; 146 III 14 E. 5.1; 137 III 539 E. 5.2 mit Hinweisen). Schuldhaft und damit fahrlässig ist ein Verhalten dann, wenn es von dem unter den gegebenen Verhältnissen als angebracht geltenden Durchschnittsverhalten abweicht, wobei das Verschulden um so schwerer wiegt, je grösser das Ausmass der Abweichung ist (vgl. BGE 148 III 343 E. 3.3; 116 Ia 162 E. 2c; Urteil 4A_604/2017 vom 30. April 2018 E. 3.1. mit Hinweis). Die Berücksichtigung der möglichen Schädigung einer Dritten stellt die Erfüllung der Sorgfaltspflicht dar, die dem Fahrlässigkeitsbegriff zugrundeliegt. Sorgfaltswidrig verhält sich insbesondere, wer einen gefährlichen Zustand schafft oder unterhält, ohne die zur Vermeidung eines Schadens erforderlichen Schutzmassnahmen zu ergreifen ( BGE 146 III 14 E. 5.1 mit Hinweisen).</w:t>
      </w:r>
    </w:p>
    <w:p>
      <w:r>
        <w:rPr>
          <w:b/>
        </w:rPr>
        <w:t>E. 1.3</w:t>
      </w:r>
    </w:p>
    <w:p>
      <w:r>
        <w:t>Die Beschwerdeführerin führt aus, die verfügte Nichtanhandnahme wirke sich auf die Beurteilung ihrer Zivilansprüche aus. Im bisherigen Verfahren habe sie zwar noch keine Zivilforderungen einreichen können; wäre das Verfahren jedoch durchgeführt worden, hätte sie adhäsionsweise zivilrechtliche Forderungen in Form von Schadenersatz und Genugtuung gegen C.________ (nachfolgend: Beschwerdegegner 2) geltend gemacht. Vertreten durch ihren Vater habe sie bereits mit Schreiben vom 5. Februar 2022 eine Genugtuung gefordert. Einer ebenfalls in den Akten enthaltenen Leistungsabrechnung ihrer Krankenversicherung sei sodann zu entnehmen, dass sie wegen des Vorfalls vom 10. Oktober 2021 in Form von Kostenbeteiligungen Auslagen für wiederholte medizinische Behandlungen gehabt habe, deren Rückerstattung sie verlangen wolle. Bemerkenswert sei in diesem Zusammenhang, dass der Beschwerdegegner 2 in seiner Stellungnahme vom 24. August 2022 an die Vorinstanz ausgeführt habe, dass er die Regressforderungen der Versicherung bereits anerkannt und bezahlt habe. Mit Schreiben vom 14. Juni 2022 habe sie dem Beschwerdegegner 2 eine erneute Genugtuungsforderung unterbreitet. Nach der verfügten Nichtanhandnahme hätten er und seine Schwester, die Besitzerin des Restaurants, sich aber geweigert, auf ihre Zivilforderungen einzugehen.</w:t>
      </w:r>
    </w:p>
    <w:p>
      <w:r>
        <w:rPr>
          <w:b/>
        </w:rPr>
        <w:t>E. 1.4</w:t>
      </w:r>
    </w:p>
    <w:p>
      <w:r>
        <w:t>Mit diesen Ausführungen kommt die Beschwerdeführerin ihrer Obliegenheit, eine adhäsionsfähige Zivilforderung zu substanziieren und konkretisieren, nicht hinreichend nach. So beziffert sie weder die angebliche Schadenersatz-, noch die Genugtuungsforderung. Bezüglich der Schadenersatzforderung legt sie insbesondere nicht dar, welche ihr verbliebenen Schadensposten vom Beschwerdegegner 2 noch nicht gedeckt worden sein sollen. Die Anmerkung "Ersatz für die Auslagen der Heilbehandlung" schafft hier nicht die nötige Klarheit. Was das Genugtuungsbegehren anbelangt, genügt es zudem nicht, einfach eine fahrlässige Körperverletzung nach Art. 125 StGB zu behaupten. Vielmehr müsste auch die erlittene immaterielle Unbill sowie die Erfüllung der spezifischen Verschuldensanforderungen nach dem obligationenrechtlichen Fahrlässigkeitsbegriff, insbesondere die Sorgfaltswidrigkeit (oben E. 1.2), wenigstens in Umrissen substanziiert werden. Dies unterlässt die Beschwerdeführerin indessen, womit auf ihre Beschwerde mangels hinreichender Darlegung ihrer Legitimation nicht einzutreten ist.</w:t>
      </w:r>
    </w:p>
    <w:p>
      <w:r>
        <w:rPr>
          <w:b/>
        </w:rPr>
        <w:t>E. 2</w:t>
      </w:r>
    </w:p>
    <w:p>
      <w:r>
        <w:t>Die Beschwerde erweist sich dem Gesagten zufolge als unzulässig.</w:t>
      </w:r>
    </w:p>
    <w:p>
      <w:r>
        <w:t>Die Gerichtskosten sind dem Verfahrensausgang entsprechend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