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7B_515/2023 vom 29. November 2023</w:t>
      </w:r>
    </w:p>
    <w:p>
      <w:r>
        <w:t>Bundesgericht, 2023-11-29, FR</w:t>
      </w:r>
    </w:p>
    <w:p>
      <w:r>
        <w:rPr>
          <w:b/>
        </w:rPr>
        <w:t xml:space="preserve">Quelle: </w:t>
      </w:r>
      <w:r>
        <w:t>https://mcp.opencaselaw.ch/entscheid/bger_7B_515_2023</w:t>
      </w:r>
    </w:p>
    <w:p>
      <w:r>
        <w:t>FR: TF 7B_515/2023 du 29 novembre 2023</w:t>
      </w:r>
    </w:p>
    <w:p>
      <w:r>
        <w:t>IT: TF 7B_515/2023 del 29 novembre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ne dit mot, dans son recours, au sujet d'éventuelles prétentions civiles envers les personnes contre lesquelles il a déposé plainte pénale, soit le Procureur général B.________ et l'avocat C.________. On observera en outre que le recourant ne remet pas en cause l'arrêt attaqué en tant qu'il confirme l'ordonnance de non-entrée en matière sur sa plainte contre l'avocat précité. De surcroît, le Procureur général est un magistrat de l'État de Genève et les reproches du recourant se rapportent à un comportement qu'il aurait adopté dans l'exercice de sa fonction, de sorte que seul ce canton répond d'un éventuel dommage, le lésé ne disposant d'aucune action directe contre ce magistrat (cf. art. 1 de la loi genevoise sur la responsabilité de l'État et des communes du 24 février 1989 [LREC; RS/GE A 2 40]; ATF 146 IV 76 consid. 3.1). Le recourant ne démontre par conséquent pas avoir qualité pour recourir sur le fond en application de l'art. 81 al. 1 let. a et b ch. 5 LTF.</w:t>
      </w:r>
    </w:p>
    <w:p>
      <w:r>
        <w:rPr>
          <w:b/>
        </w:rPr>
        <w:t>E. 2</w:t>
      </w:r>
    </w:p>
    <w:p>
      <w:r>
        <w:t>Le recourant ne soulève au surplus aucun grief quant à son droit de porter plainte au sens de l'art. 81 al. 1 let. b ch. 6 LTF.</w:t>
      </w:r>
    </w:p>
    <w:p>
      <w:r>
        <w:rPr>
          <w:b/>
        </w:rPr>
        <w:t>E. 3.1</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pas être séparés du fond ( ATF 141 IV 1 consid. 1.1). Le recourant ne peut ni critiquer l'appréciation des preuves ni faire valoir que la motivation n'est pas correcte d'un point de vue matériel ( ATF 136 IV 41 consid. 1.4 et les références citées; arrêt 6B_252/2022 du 11 avril 2023 consid. 8).</w:t>
      </w:r>
    </w:p>
    <w:p>
      <w:r>
        <w:rPr>
          <w:b/>
        </w:rPr>
        <w:t>E. 3.2</w:t>
      </w:r>
    </w:p>
    <w:p>
      <w:r>
        <w:t>En l'occurrence, le recourant invoque une violation des art. 3, 6, 76 à 78 et 100 CPP. Il reproche à la cour cantonale de n'avoir pas "recherché les faits pertinents" en relation avec le comportement du Procureur général à l'audience d'instruction du 18 juin 2015, au cours de laquelle celui-ci se serait préalablement entretenu, hors sa présence, avec C.________ et l'avocat de ce dernier, sans par ailleurs tenir de procès-verbal de leur discussion. Il apparaît toutefois que le recourant s'en prend en réalité à un point matériel de la motivation par laquelle la cour cantonale a retenu que sa plainte pénale ne portait pas sur les circonstances dans lesquelles s'était ouverte l'audience précitée, ce qui justifiait de ne pas entrer en matière sur ce point (cf. arrêt attaqué, consid. 3 p. 5 s.).</w:t>
      </w:r>
    </w:p>
    <w:p>
      <w:r>
        <w:t>En tant qu'il critique pour le surplus l'établissement de ces faits au sens des art. 97 et 105 LTF et, sur cette base, l'ordonnance de non-entrée en matière, le recourant ne soulève aucun grief distinct du fond. Il n'a donc pas non plus la qualité pour recourir sous cet angle.</w:t>
      </w:r>
    </w:p>
    <w:p>
      <w:r>
        <w:rPr>
          <w:b/>
        </w:rPr>
        <w:t>E. 4</w:t>
      </w:r>
    </w:p>
    <w:p>
      <w:r>
        <w:t>L'irrecevabilité manifeste du recours doit dès lors être constatée dans la procédure prévue par l' art. 108 al. 1 let. a LTF . 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