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7B_514/2025 vom 27. Juni 2025</w:t>
      </w:r>
    </w:p>
    <w:p>
      <w:r>
        <w:t>Bundesgericht, 2025-06-27, FR</w:t>
      </w:r>
    </w:p>
    <w:p>
      <w:r>
        <w:rPr>
          <w:b/>
        </w:rPr>
        <w:t xml:space="preserve">Quelle: </w:t>
      </w:r>
      <w:r>
        <w:t>https://mcp.opencaselaw.ch/entscheid/bger_7B_514_2025</w:t>
      </w:r>
    </w:p>
    <w:p>
      <w:r>
        <w:t>FR: TF 7B_514/2025 du 27 juin 2025</w:t>
      </w:r>
    </w:p>
    <w:p>
      <w:r>
        <w:t>IT: TF 7B_514/2025 del 27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Les mémoires doivent être remis au plus tard le dernier jour du délai, soit au Tribunal fédéral soit, à l'attention de ce dernier, à La Poste Suisse ou à une représentation diplomatique ou consulaire suisse ( art. 48 al. 1 LTF ).</w:t>
      </w:r>
    </w:p>
    <w:p>
      <w:r>
        <w:rPr>
          <w:b/>
        </w:rPr>
        <w:t>E. 1.2</w:t>
      </w:r>
    </w:p>
    <w:p>
      <w:r>
        <w:t>En l'espèce, selon le suivi "Track and Trace" de l'envoi, le recourant a retiré l'exemplaire de la décision attaquée le 7 mai 2025. Le délai de recours contre cette décision est ainsi arrivé à échéance le vendredi 6 juin 2025.</w:t>
      </w:r>
    </w:p>
    <w:p>
      <w:r>
        <w:t>Il s'ensuit que le recours - qui, bien que daté du 6 juin 2025, est présumé avoir été déposé le 10 juin 2025 selon la date ressortant du sceau postal apposé sur l'enveloppe expédiée en recommandé</w:t>
      </w:r>
    </w:p>
    <w:p>
      <w:r>
        <w:t>(cf. ATF 142 V 389 consid. 2.2) - est manifestement tardif.</w:t>
      </w:r>
    </w:p>
    <w:p>
      <w:r>
        <w:rPr>
          <w:b/>
        </w:rPr>
        <w:t>E. 2</w:t>
      </w:r>
    </w:p>
    <w:p>
      <w:r>
        <w:t>Au vu de ce qui précède, l'irrecevabilité manifeste du recours doit être constatée dans la procédure prévue par l' art. 108 al. 1 let. a LTF . Comme le recours était d'emblée dénué de chances de succès, la demande d'assistance judiciaire doit être rejetée ( art. 64 al. 1 LTF ), ce qui relève également de la compétence du juge unique prévu par l' art. 108 LTF ( art. 64 al. 3 2</w:t>
      </w:r>
    </w:p>
    <w:p>
      <w:r>
        <w:t>e phrase LTF; arrêt 7B_17/2025 du 20 janvier 2025 consid. 2 et les réf. citées). Le recourant, qui succombe, supportera les frais judiciaires; ceux-ci seront toutefois fixés en tenant compte de sa situation financière, qui n'apparaît pas favorable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