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7B_514/2023 vom 26. September 2023</w:t>
      </w:r>
    </w:p>
    <w:p>
      <w:r>
        <w:t>Bundesgericht, 2023-09-26, DE</w:t>
      </w:r>
    </w:p>
    <w:p>
      <w:r>
        <w:rPr>
          <w:b/>
        </w:rPr>
        <w:t xml:space="preserve">Quelle: </w:t>
      </w:r>
      <w:r>
        <w:t>https://mcp.opencaselaw.ch/entscheid/bger_7B_514_2023</w:t>
      </w:r>
    </w:p>
    <w:p>
      <w:r>
        <w:t>FR: TF 7B_514/2023 du 26 septembre 2023</w:t>
      </w:r>
    </w:p>
    <w:p>
      <w:r>
        <w:t>IT: TF 7B_514/2023 del 26 settembre 2023</w:t>
      </w:r>
    </w:p>
    <w:p>
      <w:pPr>
        <w:pStyle w:val="Heading2"/>
      </w:pPr>
      <w:r>
        <w:t>Erwägungen</w:t>
      </w:r>
    </w:p>
    <w:p>
      <w:r>
        <w:rPr>
          <w:b/>
        </w:rPr>
        <w:t>E. 1</w:t>
      </w:r>
    </w:p>
    <w:p>
      <w:r>
        <w:t>Der Beschwerdeführer erstattete am 10. Dezember 2020 Strafanzeige und stellte in diesem Zusammenhang Strafantrag wegen Tätlichkeiten und Beschimpfung. Das Strafverfahren wurde mit Strafbefehl vom 6. Oktober 2022 rechtskräftig abgeschlossen. In der Folge äusserte sich der Beschwerdeführer am 8. November 2022 auf der Polizeiwache dahingehend, dass er damals auch eine Beschädigung seiner Drehorgel durch die beschuldigte Person festgestellt habe. Da mit dem Strafbefehl vom 6. Oktober 2022 keine Sachbeschädigung abgeurteilt worden war, stellte der Beschwerdeführer am 9. November 2022 einen zusätzlichen Strafantrag wegen Sachbeschädigung. Die Staatsanwaltschaft Basel-Stadt nahm eine Strafuntersuchung am 26. Januar 2023 nicht an die Hand. Die dagegen gerichtete Beschwerde wies das Appellationsgericht des Kantons Basel-Stadt mit Entscheid vom 2. Juni 2023 ab. Der Beschwerdeführer führt Beschwerde in Strafsachen und beantragt sinngemäss, die Staatsanwaltschaft sei anzuweisen, das Strafverfahren an die Hand zu nehmen. Zudem sei B.________ zu verpflichten, ihm Fr. 3'800.-- zu bezahlen. Der Beschwerdeführer beantragt die unentgeltliche Rechtspflege.</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führt in seiner Beschwerde aus, die Kosten für die Reparatur an seiner Drehorgel, welche in der von ihm zur Anzeige gebrachten mutmasslichen Sachbeschädigung entstanden sein sollen, habe die C.________ "aus Goodwill" bereits übernommen. Damit liegt nahe, dass das Strafverfahren im Zivilpunkt bereits erledigt ist (vgl. dazu statt vieler: Urteile 6B_684/2023 vom 17. August 2023 E. 3.3; 6B_1406/2021 vom 23. März 2022 E. 1.1; 6B_1192/2021 vom 26. November 2021 E. 3; je mit Hinweisen). Dass dem Beschwerdeführer eine darüber hinausgehende Zivilforderung zustehen sollte, wird in der Beschwerde nicht ansatzweise dargelegt. Insbesondere die beantragte "Entschädigung" zu Lasten von B.________ wird mit keinem Wort begründet. Eine Zivilforderungen, die den Beschwerdeführer im Sinne von Art. 81 Abs. 1 lit. b Ziff. 5 BGG als Privatkläger zur Beschwerde legitimieren würde, ist insgesamt nicht dargelegt. Der Beschwerdeführer kommt damit den Begründungsanforderungen nicht nach.</w:t>
      </w:r>
    </w:p>
    <w:p>
      <w:r>
        <w:rPr>
          <w:b/>
        </w:rPr>
        <w:t>E. 4</w:t>
      </w:r>
    </w:p>
    <w:p>
      <w:r>
        <w:t>Auf die Beschwerde ist im Verfahren nach Art. 108 BGG nicht einzutreten. Die Gerichtskosten sind dem Beschwerdeführer aufzuerlegen ( Art. 66 Abs. 1 BGG ). Das Gesuch um unentgeltliche Rechtspflege ist wegen offensichtlicher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