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7B_506/2024 vom 8. Juli 2024</w:t>
      </w:r>
    </w:p>
    <w:p>
      <w:r>
        <w:t>Bundesgericht, 2024-07-08, FR</w:t>
      </w:r>
    </w:p>
    <w:p>
      <w:r>
        <w:rPr>
          <w:b/>
        </w:rPr>
        <w:t xml:space="preserve">Quelle: </w:t>
      </w:r>
      <w:r>
        <w:t>https://mcp.opencaselaw.ch/entscheid/bger_7B_506_2024</w:t>
      </w:r>
    </w:p>
    <w:p>
      <w:r>
        <w:t>FR: TF 7B_506/2024 du 8 juillet 2024</w:t>
      </w:r>
    </w:p>
    <w:p>
      <w:r>
        <w:t>IT: TF 7B_506/2024 del 8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vertu de l' art. 42 al. 1 LTF , il incombe à la partie recourante d'exposer de manière précise les éléments fondant ses prétentions civiles, notamment en alléguant et en chiffrant dans la mesure du possible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7B_332/2024 du 31 mai 2024 consid. 1.1.2; 7B_566/2023 du 14 mai 2024 consid. 1.2.1).</w:t>
      </w:r>
    </w:p>
    <w:p>
      <w:r>
        <w:rPr>
          <w:b/>
        </w:rPr>
        <w:t>E. 1.2</w:t>
      </w:r>
    </w:p>
    <w:p>
      <w:r>
        <w:t>Le recourant ne s'exprime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l'État n'entrant pas dans cette catégorie (cf. ATF 146 IV 76 consid. 3; arrêt 7B_507/2023 du 20 mars 2024 consid. 1.2.2). L'absence d'explications sur la question des prétentions civiles exclut sa qualité pour recourir sur le fond de la cause.</w:t>
      </w:r>
    </w:p>
    <w:p>
      <w:r>
        <w:rPr>
          <w:b/>
        </w:rPr>
        <w:t>E. 1.3</w:t>
      </w:r>
    </w:p>
    <w:p>
      <w:r>
        <w:t>Le recourant ne propose en outre aucune motivation, conforme aux exigences accrues en la matière (cf. art. 42 al. 2 et 106 al. 2 LTF), susceptible d'établir qu'il aurait été traité de façon inhumaine ou dégradante (cf. ATF 138 IV 86 consid. 3.1.1; 131 I 455 consid. 1.2.5; arrêt 7B_334/2024 du 27 mai 2024 consid. 2). Il échoue ainsi à fonder sa qualité pour recourir selon les art. 10 al. 3 Cst. , 7 Pacte ONU II, 3 CEDH ou 13 par. 1 de la Convention contre la torture et autres peines ou traitements cruels, inhumains ou dégradants conclue à New York le 10 décembre 1984 (RS 0.105).</w:t>
      </w:r>
    </w:p>
    <w:p>
      <w:r>
        <w:rPr>
          <w:b/>
        </w:rPr>
        <w:t>E. 1.4</w:t>
      </w:r>
    </w:p>
    <w:p>
      <w:r>
        <w:t>S'agissant de l'hypothèse visée à l'art. 81 al. 1 let. b ch. 6 LTF, elle n'entre pas en considération, le recourant ne soulevant aucun grief recevable quant à son droit de porter plainte.</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du moins pas de manière compréhensible, respectivement conforme aux exigences de motivation posées aux art. 42 al. 2 LTF (cf. ATF 148 IV 205 consid. 2.6) et 106 al. 2 LTF (cf. ATF 146 I 62 consid. 3), de grief susceptible d'être examiné à ce titre.</w:t>
      </w:r>
    </w:p>
    <w:p>
      <w:r>
        <w:rPr>
          <w:b/>
        </w:rPr>
        <w:t>E. 2</w:t>
      </w:r>
    </w:p>
    <w:p>
      <w:r>
        <w:t>Ne répondant ainsi manifestement pas aux exigences de recevabilité et de motivation d'un recours en matière pénale au Tribunal fédéral, le recours doit être déclaré irrecevable selon la procédure simplifiée prévue par l' art. 108 al. 1 let. a et b LTF . Comme le recours était d'emblée dénué de chances de succès, la demande d'assistance judiciaire doit être rejetée ( art. 64 al. 1 LTF ), ce qui relève également de la compétence du juge unique prévu par l' art. 108 LTF ( art. 64 al. 3 2</w:t>
      </w:r>
    </w:p>
    <w:p>
      <w:r>
        <w:t>e phrase LTF; arrêt 7B_610/2024 du 21 juin 2024 consid. 2). Le recourant, qui succombe, supportera les frais judiciaires; ceux-ci seront toutefois fixés en tenant compte de sa situation financière, laquelle n'apparaît pas favorable ( art. 65 al. 2 LTF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