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7B_4/2021 vom 28. Juli 2023</w:t>
      </w:r>
    </w:p>
    <w:p>
      <w:r>
        <w:t>Bundesgericht, 2023-07-28, DE</w:t>
      </w:r>
    </w:p>
    <w:p>
      <w:r>
        <w:rPr>
          <w:b/>
        </w:rPr>
        <w:t xml:space="preserve">Quelle: </w:t>
      </w:r>
      <w:r>
        <w:t>https://mcp.opencaselaw.ch/entscheid/bger_7B_4_2021</w:t>
      </w:r>
    </w:p>
    <w:p>
      <w:r>
        <w:t>FR: TF 7B_4/2021 du 28 juillet 2023</w:t>
      </w:r>
    </w:p>
    <w:p>
      <w:r>
        <w:t>IT: TF 7B_4/2021 del 28 luglio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wendet sich gegen die Strafzumessung der vorinstanzlichen Schuldsprüche wegen mehrfacher qualifizierter ungetreuer Geschäftsbesorgung in Sachen "Retrozessionen" sowie betreffend die "Anlagekategorien G.________ und Fund H.________". Der Beschwerdeführer moniert, die Vorinstanz habe, entgegen ihrer Verpflichtung, die Strafmilderungsgründe nach Art. 48 lit. e StGB und Art. 54 StGB nicht angewendet und wesentliche Gesichtspunkte ausser Acht gelassen.</w:t>
      </w:r>
    </w:p>
    <w:p>
      <w:r>
        <w:rPr>
          <w:b/>
        </w:rPr>
        <w:t>E. 2.2</w:t>
      </w:r>
    </w:p>
    <w:p>
      <w:r>
        <w:t>Das Bundesgericht hiess im Rückweisungsentscheid die Beschwerde der Beschwerdegegnerin gut, hob den angefochtenen Entscheid im Strafpunkt teilweise auf und wies die Sache an die Vorinstanz zurück. Das Bundesgericht erwog dabei, die Vorinstanz sei bei der Prüfung der subjektiven Tatbestandsvoraussetzungen von Art. 158 Ziff. 1 Abs. 1 i.V.m. Abs. 3 StGB wie auch Art. 165 Ziff. 1 i.V.m. Art. 29 StGB betreffend die "Anlagekategorien G.________ und Fund H.________" nicht korrekt vorgegangen. Zusammengefasst müsse aufgrund des beruflichen Werdegangs des Beschwerdeführers, seiner Stellung als Verwaltungsratspräsident der B.________ wie auch der ihm gegenüber verschiedentlich kommunizierten konkreten Verdachtsmomente auf eine vorsätzlich Pflichtverletzung geschlossen werden, wobei der Beschwerdeführer eine Schädigung der G.________-Anleger mindestens in Kauf genommen habe (Urteil 6B_910/2019 vom 15. Juni 2020 E. 2.7 f.). Bezüglich der Beschwerde seitens des Beschwerdeführers erwog das Bundesgericht, der Schuldspruch wegen mehrfacher ungetreuer Geschäftsbesorgung zum Nachteil der G.________-Kunden im Zusammenhang mit den "Retrozessionen" verstosse, entgegen den Vorbringen des Beschwerdeführers, nicht gegen Bundesrecht. Die G.________-Kunden hätten keine mündlichen Informationen zu den "Retrozessionen" erhalten, welche über die Vertragsklauseln in den Devisenhandelsvereinbarungen hinausgingen und einen gültigen Vorausverzicht auf die Weiterleitung der Retrozessionen erlaubt hätten. In Übereinstimmung mit den vorinstanzlichen Erwägungen bestätigte das Bundesgericht entsprechend die ergangenen Schuldsprüche (Urteil 6B_1076/2019 vom 15. Juni 2020 E. 4).</w:t>
      </w:r>
    </w:p>
    <w:p>
      <w:r>
        <w:rPr>
          <w:b/>
        </w:rPr>
        <w:t>E. 2.3.1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6B_676/2022 vom 27. Dezember 2022 E. 1.3.1; 6B_1478/2021 vom 4. November 2022 E. 1; 6B_1312/2021 vom 18. Mai 2022 E. 3.2; je mit Hinweisen).</w:t>
      </w:r>
    </w:p>
    <w:p>
      <w:r>
        <w:t>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mit Hinweisen). Diese Rechtsprechung beruht auf dem Gedanken, dass das Strafverfahren prinzipiell mit dem Urteil der oberen kantonalen Instanz abgeschlossen ist (Urteile 6B_676/2022 vom 27. Dezember 2022 E. 1.3.1; 6B_1478/2021 vom 4. November 2022 E. 1; 6B_1216/2020 vom 11. April 2022 E. 1.3.3).</w:t>
      </w:r>
    </w:p>
    <w:p>
      <w:r>
        <w:t>Rügen, die schon im bundesgerichtlichen Verfahren gegen das erste Urteil der Vorinstanz hätten vorgebracht werden können und deren Geltendmachung den Parteien nach Treu und Glauben auch zumutbar war, können nach der Rechtsprechung im Beschwerdeverfahren gegen das zweite Urteil der Vorinstanz nicht mehr vorgebracht werden (vgl. BGE 117 IV 97 E. 4a; Urteile 6B_676/2022 vom 27. Dezember 2022 E. 1.3.1; 6B_1478/2021 vom 4. November 2022 E. 1; 6B_595/2021 vom 24. Juni 2022 E. 1.1; 6B_216/2020 vom 1. November 2021 E. 1.3.1; 6B_824/2016 vom 10. April 2017 E. 6.2, nicht publ. in: BGE 143 IV 214 ; je mit Hinweisen).</w:t>
      </w:r>
    </w:p>
    <w:p>
      <w:r>
        <w:rPr>
          <w:b/>
        </w:rPr>
        <w:t>E. 2.3.2</w:t>
      </w:r>
    </w:p>
    <w:p>
      <w:r>
        <w:t>Das Bundesgericht hat die Grundsätze der Strafzumessung nach Art. 47 ff. StGB und der Gesamtstrafenbildung nach Art. 49 Abs. 1 StGB in Anwendung des Asperationsprinzips wiederholt dargelegt ( BGE 144 IV 313 E. 1.1; 141 IV 61 E. 6.1.2; 136 IV 55 E. 5.4; je mit Hinweisen). Darauf kann grundsätzlich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6B_1153/2021 vom 29. März 2023 E. 2.3.2).</w:t>
      </w:r>
    </w:p>
    <w:p>
      <w:r>
        <w:rPr>
          <w:b/>
        </w:rPr>
        <w:t>E. 2.4.1</w:t>
      </w:r>
    </w:p>
    <w:p>
      <w:r>
        <w:t>An die rechtliche Beurteilung im Rückweisungsentscheid und den zugrunde liegenden Sachverhalt sind die Vorinstanz, die Parteien wie auch das Bundesgericht im vorliegenden Verfahren gebunden, was nicht bestritten wird. Da die Vorinstanz die Strafzumessung gesamthaft erneut vorzunehmen hatte, ist dem Beschwerdeführer insoweit zu folgen, als gegen die Strafzumessung gerichtete Rügen grundsätzlich Gegenstand des zweiten bundesgerichtlichen Verfahrens bilden können.</w:t>
      </w:r>
    </w:p>
    <w:p>
      <w:r>
        <w:rPr>
          <w:b/>
        </w:rPr>
        <w:t>E. 2.4.2</w:t>
      </w:r>
    </w:p>
    <w:p>
      <w:r>
        <w:t>Was der Beschwerdeführer betreffend den Sachverhaltskomplex "Retrozessionen" vorbringt, verkennt die materielle Tragweite und Funktion bundesgerichtlicher Rückweisungsentscheide. Die Vorinstanz erkannte bereits in ihrem ersten Urteil auf einen Schuldspruch für die mehrfache qualifizierte ungetreue Geschäftsbesorgung und Geldwäscherei in Sachen "Retrozessionen" und setzt sich mit den diesbezüglichen Strafzumessungsfaktoren auseinander. Der Beschwerdeführer beantragte im Verfahren 6B_1076/2019 mit Beschwerde in Strafsachen gegen das erste vorinstanzliche Urteil einen vollumfänglichen Freispruch, wobei er sich im Falle eines Schuldspruchs eventualiter zur als überhöht beanstandeten Strafe äusserte. Diese Kritik beschränkte sich indessen auf die angeblich bundesrechtswidrige Bildung einer Gesamtstrafe, die scheinbar gänzlich unberücksichtigt gebliebene eventualvorsätzliche Tatbegehung und die angeblichen Verletzungen der Prüfungs- und Begründungspflicht, sowohl im Grenzbereich zur bedingten Strafe, als auch bei der Festlegung der objektiven Tatschwere. Anders als noch im ersten Verfahren vor der Vorinstanz unterliess es der Beschwerdeführer im ersten Verfahren vor Bundesgericht, sich einlässlich zu weiteren einschlägigen Strafmilderungsgründen zu äussern. Vielmehr rügt der Beschwerdeführer erstmals im vorliegenden Verfahren den angeblich vor der Vorinstanz unberücksichtigt gebliebenen Strafmilderungsgrund nach Art. 48 lit. e StGB und setzt sich mit den vermeintlich relevanten Strafzumessungsfaktoren auseinander. Dies wäre ihm indessen bereits im ersten bundesgerichtlichen Verfahren möglich und zumutbar gewesen. Die Vorinstanz musste auf dieses Vorbringen des Beschwerdeführers im Zusammenhang mit der Strafzumessung auch nicht eingehen, weil sie aufgrund der bestätigten Schuldsprüche in Sachen "Retrozessionen" weder den Erwägungen des Bundesgerichts im Rückweisungsentscheid Rechnung zu tragen hatte noch neue Strafzumessungsfaktoren hinzukamen, welche durch die Vorinstanz in die Würdigung hätten einbezogen werden müssen (vgl. E. 2.3.1 oben). Dementsprechend kann denn auch offen bleiben, ob der Beschwerdeführer im Rahmen des ersten vorinstanzlichen Verfahrens seine Rügen hinreichend begründete und unter Ausschöpfung des Instanzenzugs rechtsgenüglich vorbrachte.</w:t>
      </w:r>
    </w:p>
    <w:p>
      <w:r>
        <w:rPr>
          <w:b/>
        </w:rPr>
        <w:t>E. 2.4.3</w:t>
      </w:r>
    </w:p>
    <w:p>
      <w:r>
        <w:t>Unbesehen der vorangegangenen Erwägungen dringt der Beschwerdeführer vor Bundesgericht auch nicht durch, wenn er moniert, der Beginn der Verjährungsfristen gemäss Art. 98 StGB sei entgegen der Vorbringen der Vorinstanz im Anwendungsbereich von Art. 48 lit. e StGB nicht pauschal auf das Ende der deliktischen Tätigkeit am 12. April 2012, sondern für jede Tatbegehung betreffend "Retrozessionen" einzeln festzusetzen.</w:t>
      </w:r>
    </w:p>
    <w:p>
      <w:r>
        <w:rPr>
          <w:b/>
        </w:rPr>
        <w:t>E. 2.4.4</w:t>
      </w:r>
    </w:p>
    <w:p>
      <w:r>
        <w:t>Die Verfolgung der ungetreuen Geschäftsbesorgung verjährt in 15 Jahren (Art. 97 Abs. 1 lit. b i.V.m. Art. 158 Ziff. 1 Abs. 1 i.V.m. Abs. 3 StGB).</w:t>
      </w:r>
    </w:p>
    <w:p>
      <w:r>
        <w:t>Gemäss Art. 48 lit. e StGB mildert das Gericht die Strafe, wenn das Strafbedürfnis in Anbetracht der seit der Tat verstrichenen Zeit deutlich vermindert ist und sich der Täter in dieser Zeit wohl verhalten hat. Nach der Rechtsprechung ist dieser Strafmilderungsgrund (bei Wohlverhalten) in jedem Fall anzunehmen, wenn mindestens zwei Drittel der Verjährungsfrist abgelaufen sind ( BGE 140 IV 145 E. 3.1; 132 IV 1 E. 6.2; Urteile 6B_217/2022 vom 15. August 2022 E. 2; 6B_857/2021 vom 4. Mai 2022 E. 4.3.8; 6B_260/2020 vom 2. Juli 2020 E. 2.3.3; je mit Hinweisen). Für die Berechnung ist der Zeitpunkt des Sachurteils massgebend ( BGE 140 IV 145 E. 3.1; 132 IV 1 E. 6.2.1; Urteile 6B_217/2022 vom 15. August 2022 E. 3.2; 6B_1074/2020 vom 3. Februar 2021 E. 3.2). Die Zeit bis zur Eröffnung des Entscheids kann naturgemäss nicht berücksichtigt werden (Urteile 6B_217/2022 vom 15. August 2022 E. 3.2; 6B_590/2020 vom 1. Oktober 2020 E. 1.4).</w:t>
      </w:r>
    </w:p>
    <w:p>
      <w:r>
        <w:t>Nach Art. 98 StGB beginnt die Verjährung (a.) mit dem Tag, an dem der Täter die strafbare Tätigkeit ausführt; (b.) wenn der Täter die strafbare Tätigkeit zu verschiedenen Zeiten ausführt, mit dem Tag, an dem er die letzte Tätigkeit ausführt; (c.) wenn das strafbare Verhalten (an-) dauert, mit dem Tag, an dem dieses Verhalten aufhört. Sind mehrere Personen an der Begehung der Straftat beteiligt, ohne dass sie gleichzeitig handeln, d.h. ihren Beitrag zu dieser Straftat nacheinander und nicht gleichzeitig leisten, ist der Zeitpunkt massgebend, zu dem die letzte Handlung, die die Straftat verwirklicht, von einem der Beteiligten begangen wird. Demnach beginnt die Verjährung für alle Beteiligten an dem Tag zu laufen, an dem der letzte von ihnen gehandelt hat, um zu vermeiden, dass derjenige, dessen Beitrag zur Straftat sich auf den Beginn der Ausführung der Straftat beschränkt hat, unter dem Gesichtspunkt der Verjährung anders behandelt wird als derjenige, dessen Beitrag erst später erfolgt (vgl. BGE 102 IV 79 E. 6a; Urteil 6B_659/2014 vom 22. Dezember 2017 E. 12.2.1).</w:t>
      </w:r>
    </w:p>
    <w:p>
      <w:r>
        <w:rPr>
          <w:b/>
        </w:rPr>
        <w:t>E. 2.4.5</w:t>
      </w:r>
    </w:p>
    <w:p>
      <w:r>
        <w:t>Wie von der Vorinstanz gestützt auf den bundesgerichtlichen Rückweisungsentscheid einlässlich dargelegt, ist dem Beschwerdeführer, als Verwaltungsrat und Organ der B.________, auf Grundlage der mit den G.________-Kunden abgeschlossenen Devisenhandelsvereinbarungen eine Vermögensfürsorgepflicht zugekommen ( Art. 29 StGB , Art. 400 Abs. 1 und Art. 398 Abs. 2 OR ). Seit dem Jahr 2006 habe der Beschwerdeführer in Verletzung seiner auftragsrechtlichen Herausgabe- und Rechenschaftspflicht als Mittäter Retrozessionen in der Höhe von Fr. 6'235'255.-- den G.________-Anlegern vorenthalten und im Betrag von rund Fr. 4'600'000.-- in Bereicherungsabsicht vereinnahmt, bevor das B.________-System am 12. April 2012 mit der Hausdurchsuchung sowie dem Einschreiten der FINMA implodiert sei (vgl. Urteil des Obergerichts des Kantons Aargau SST.2017.146 / SST.2017.147 vom 1. Februar 2019 E. 3.1.2.2.14, 5.3.3.3, 5.4.2.1; angefochtenes Urteil E. 4.4.3.1, 4.5.7). Folglich waren weder im Zeitpunkt des ersten vorinstanzlichen Urteils vom 1. Februar 2019, bei welchem in zweiter Instanz die Verurteilung wegen mehrfacher qualifizierter ungetreuer Geschäftsbesorgung in Sachen "Retrozessionen" auf Grundlage des rechtserheblichen Sachverhalts erfolgte, noch beim bundesgerichtlichen Rückweisungsentscheid vom 15. Juni 2020, der den entsprechenden Schuldspruch bestätigte, zwei Drittel der 15-jährigen Verjährungsfrist abgelaufen.</w:t>
      </w:r>
    </w:p>
    <w:p>
      <w:r>
        <w:t>Nicht zu beanstanden ist daher, wenn die Vorinstanz im Rahmen ihres Ermessens von der in Art. 48 lit. e StGB vorgesehenen Möglichkeit, eine Strafmilderung anhand der konkreten Umstände vorzusehen, nicht Gebrauch macht. Ferner wird durch die Vorinstanz verschuldensmindernd berücksichtigt, dass ein Teil der Kunden mittels der bezeichneten Vertragsklausel in der Devisenhandelsvereinbarung - wenn auch ungenügend - ansatzweise über das Anfallen von Retrozessionen informiert gewesen sei. Die von der Vorinstanz vorgenommene Würdigung erweist sich insgesamt als rechtskonform.</w:t>
      </w:r>
    </w:p>
    <w:p>
      <w:r>
        <w:rPr>
          <w:b/>
        </w:rPr>
        <w:t>E. 2.4.6</w:t>
      </w:r>
    </w:p>
    <w:p>
      <w:r>
        <w:t>Im Übrigen bleibt für die Ausführungen des Beschwerdeführers zur Tatbegehung der mehrfachen qualifizierten ungetreuen Geschäftsbesorgung kein Raum, da der Sachverhalt in Sachen "Retrozessionen" im Augenblick des bundesgerichtlichen Rückweisungsentscheids, und mithin erfolgter Bestätigung der vorinstanzlichen Feststellungen und Erwägungen, verbindlich feststand. Der Beschwerdeführer setzt sich zudem mit seinen Erläuterungen zur eigentlichen Tatbegehung selbst in Widerspruch, wollte er doch im ersten bundesgerichtlichen Verfahren an der sogenannten Devisenmargenklausel einen gültigen Vorausverzicht und dadurch rechtsgenügliche Information der G.________-Kunden hinsichtlich der Retrozessionen festmachen, weshalb in der Darstellung des Beschwerdeführers gar kein strafwürdiges Verhalten vorgelegen hätte. Ob der Beschwerdeführer anhand der ins Recht gelegten Bestätigungen der in das jeweilige G.________-Devisenportfolio getätigten Investitionen seine Rügen überhaupt hinreichend zu belegen vermag, kann angesichts des Ausgeführten dahingestellt bleiben.</w:t>
      </w:r>
    </w:p>
    <w:p>
      <w:r>
        <w:rPr>
          <w:b/>
        </w:rPr>
        <w:t>E. 2.5.1</w:t>
      </w:r>
    </w:p>
    <w:p>
      <w:r>
        <w:t>Geltend gemacht wird sodann die fehlende Berücksichtigung des Strafmilderungsgrundes nach Art. 54 StGB für die mehrfache qualifizierte ungetreue Geschäftsbesorgung betreffend die "Anlagekategorien G.________ und Fund H.________", nachdem das Bundesgericht die vorinstanzlichen Freisprüche mit Urteil 6B_910/2019 vom 15. Juni 2020 als bundesrechtswidrig beurteilte und aufhob.</w:t>
      </w:r>
    </w:p>
    <w:p>
      <w:r>
        <w:t>Der Beschwerdeführer bringt vor, dass die massiven finanziellen Verluste ihn wie auch sein persönliches Umfeld schwer getroffen hätten. Diese zentralen Aspekte lasse die Vorinstanz nicht nur zu Unrecht ausser Acht. Auch gehe sie insoweit fehl, als sie ohne einschlägige Grundlage Erwägungen des Bundesgerichts zum Vorsatz anführe und diese falsch interpretiere. So oder anders wären, so die Argumentation des Beschwerdeführers, die investierten Gelder auch verloren gegangen, wenn er seinen Kontrollpflichten nachgekommen wäre, nach dem zweiten Artikel in der Zeitschrift D.________ eingeschritten wäre und das Schneeball- bzw. Ponzi-System der B.________ aufgedeckt hätte.</w:t>
      </w:r>
    </w:p>
    <w:p>
      <w:r>
        <w:rPr>
          <w:b/>
        </w:rPr>
        <w:t>E. 2.5.2</w:t>
      </w:r>
    </w:p>
    <w:p>
      <w:r>
        <w:t>Von einer Bestrafung wird gemäss Art. 54 StGB abgesehen, wenn der Täter durch die unmittelbaren Folgen seiner Tat so schwer betroffen ist, dass eine Strafe unangemessen wäre. Nach dem Grundsatz "a maiore ad minus" kann anstelle einer Strafbefreiung die Milderung der Strafe nach freiem Ermessen treten. Neben der persönlichen Betroffenheit hängt der Entscheid über die Unangemessenheit der Strafe wesentlich vom Verschulden des Täters ab. Bei Vorsatztaten ist eine Strafreduktion zwar möglich, sollte aber nur zurückhaltend vorgenommen werden. Die Bestimmung von Art. 54 StGB ist verletzt, wenn sie in einem Fall nicht Anwendung findet, in welchem ein leichtes Verschulden sehr schwere direkte Folgen für den Täter nach sich zieht bzw. dort angewendet wird, wo ein schweres Verschulden lediglich zu einer leichten Betroffenheit des Täters geführt hat. Zwischen diesen beiden Extremen hat das Gericht nach Prüfung der konkreten Umstände des Einzelfalls zu entscheiden, wobei es bei der Festsetzung der angemessenen Strafe über ein weites Ermessen verfügt ( BGE 121 IV 162 E. 2d; 119 IV 280 E. 1a; Urteile 6B_1033/2017 vom 9. Februar 2018 E. 2.2; 6B_801/2015 vom 22. Februar 2016 E. 3.3; 6B_1159/2014 vom 1. Juni 2015 E. 4.1; vgl. auch: BGE 137 IV 105 E. 2.3).</w:t>
      </w:r>
    </w:p>
    <w:p>
      <w:r>
        <w:rPr>
          <w:b/>
        </w:rPr>
        <w:t>E. 2.5.3</w:t>
      </w:r>
    </w:p>
    <w:p>
      <w:r>
        <w:t>Gestützt auf die vorangegangenen Ausführungen ist weder ersichtlich noch wird vom Beschwerdeführer substantiiert dargelegt, inwiefern die Gegenüberstellung der getätigten Investitionen und daraus erwachsenen massiven Verluste des Beschwerdeführers (bzw. seines Umfeldes) mit dessen Interessenlage zu einer unzulässigen Berücksichtigung der Verschuldenskomponente führen sollte.</w:t>
      </w:r>
    </w:p>
    <w:p>
      <w:r>
        <w:t>Gemäss der zutreffenden Erwägung der Vorinstanz habe der Beschwerdeführer kein Interesse am Zusammenbruch der B.________ gehabt und von deren Weiterbestehen finanziell profitiert. Zuhanden eines kurzfristigen finanziellen Vorteils habe er den Verlust sämtlicher Anlagegelder in Kauf genommen, statt in Wahrnehmung seiner Kontrollpflichten als Verwaltungsrat diesen abzuwenden. Bezugnehmend auf die bundesgerichtlichen Erwägungen im Rückweisungsentscheid sei deshalb auf ein mittleres Tatverschulden zu erkennen, wobei sich die enorme Deliktssumme und die hohe Anzahl der durch das strafbare Verhalten geschädigten Personen zulasten des Beschwerdeführers auswirkten. Der Deliktszeitraum sei zudem mit mehr als zwei Jahren (vom Erscheinen des Artikels in der Zeitschrift D.________ am 2. Februar 2010 bis zum Zusammenbruch der B.________ am 12. April 2012) immer noch als relativ lang zu bewerten. Der Beschwerdeführer verkennt, dass sich die Vorinstanz damit an das von Rechtsprechung und Lehre entwickelte Vorgehen hält, indem sie sein Verschulden sowie die angemessene Strafe nach den allgemeinen Regeln (vgl. Art. 47 f. StGB) ermittelt und diese der Schwere seiner Betroffenheit gegenüberstellt (vgl. BGE 121 IV 162 E. 2d; 119 IV 280 E. 1a; Riklin, in: Basler Kommentar, Strafrecht, Band I, 4. Aufl. 2019, N. 45 zu Art. 54 StGB mit Hinweisen). Darüber hinaus wird der Eventualvorsatz im Rahmen der vorinstanzlichen Würdigung der subjektiven Tatschwere verschuldensmindernd berücksichtigt. Vor diesem Hintergrund erweist sich die Kritik des Beschwerdeführers als unbegründet. Eine Bundesrechtsverletzung ist weder aufgezeigt noch ersichtlich.</w:t>
      </w:r>
    </w:p>
    <w:p>
      <w:r>
        <w:rPr>
          <w:b/>
        </w:rPr>
        <w:t>E. 2.5.4</w:t>
      </w:r>
    </w:p>
    <w:p>
      <w:r>
        <w:t>Soweit weitergehend der Beschwerdeführer seine Argumentation zum Sachverhaltskomplex der "Anlagekategorien G.________ und Fund H.________" auf Aspekte stützt, wie namentlich den vermeintlich unumgänglichen Verlust der investierten Gelder, welche in tatsächlicher oder rechtlicher Hinsicht bereits Inhalt des ersten Beschwerdeverfahrens vor Bundesgericht bildeten bzw. hätten bilden müssen, ist darauf nicht einzutreten (vgl. E. 2.3.1 oben).</w:t>
      </w:r>
    </w:p>
    <w:p>
      <w:r>
        <w:rPr>
          <w:b/>
        </w:rPr>
        <w:t>E. 2.6</w:t>
      </w:r>
    </w:p>
    <w:p>
      <w:r>
        <w:t>Insgesamt setzt sich die Vorinstanz mit den wesentlichen schuldrelevanten Komponenten auseinander und würdigt sämtliche Strafzumessungsfaktoren zutreffend, soweit dies aufgrund der Bindungswirkung bundesgerichtlicher Rückweisungsentscheide zulässig ist. Dass sie sich von unmassgeblichen Gesichtspunkten leiten lässt oder wesentliche Aspekte nicht einbezieht, ist nicht ersichtlich und zeigt der Beschwerdeführer auch nicht auf. Ebenso wenig verletzt sie ihre Begründungspflicht. Die Freiheitsstrafe von vier Jahren und sechs Monaten, welche trotz der erfolgten Schuldsprüche betreffend die "Anlagekategorien G.________ und Fund H.________" tiefer ausfällt als noch im erstinstanzlichen Urteil, ist auch bei einer Gesamtbetrachtung nicht zu beanstanden und liegt innerhalb des weiten sachrichterlichen Ermessens der Vorinstanz. Die Strafzumessung hält vor Bundesrecht stand.</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