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7B_497/2023 vom 29. September 2023</w:t>
      </w:r>
    </w:p>
    <w:p>
      <w:r>
        <w:t>Bundesgericht, 2023-09-29, FR</w:t>
      </w:r>
    </w:p>
    <w:p>
      <w:r>
        <w:rPr>
          <w:b/>
        </w:rPr>
        <w:t xml:space="preserve">Quelle: </w:t>
      </w:r>
      <w:r>
        <w:t>https://mcp.opencaselaw.ch/entscheid/bger_7B_497_2023</w:t>
      </w:r>
    </w:p>
    <w:p>
      <w:r>
        <w:t>FR: TF 7B_497/2023 du 29 septembre 2023</w:t>
      </w:r>
    </w:p>
    <w:p>
      <w:r>
        <w:t>IT: TF 7B_497/2023 del 29 settembre 2023</w:t>
      </w:r>
    </w:p>
    <w:p>
      <w:pPr>
        <w:pStyle w:val="Heading2"/>
      </w:pPr>
      <w:r>
        <w:t>Erwägungen</w:t>
      </w:r>
    </w:p>
    <w:p>
      <w:r>
        <w:rPr>
          <w:b/>
        </w:rPr>
        <w:t>E. 1</w:t>
      </w:r>
    </w:p>
    <w:p>
      <w:r>
        <w:t>Il convient de constater que le recours est devenu sans objet, faute d'intérêt juridique à obtenir l'annulation ou la modification de l'arrêt attaqué (cf. art. 81 al. 1 let. a et b LTF ).</w:t>
      </w:r>
    </w:p>
    <w:p>
      <w:r>
        <w:t>Partant, la cause sera rayée du rôle.</w:t>
      </w:r>
    </w:p>
    <w:p>
      <w:r>
        <w:rPr>
          <w:b/>
        </w:rPr>
        <w:t>E. 2</w:t>
      </w:r>
    </w:p>
    <w:p>
      <w:r>
        <w:t>Selon l' art. 32 al. 2 LTF et l' art. 72 PCF , applicable par renvoi de l' art. 71 LTF , le juge instructeur statue comme juge unique sur les frais du procès par une décision sommairement motivée, en tenant compte de l'état de fait existant avant l'événement qui met fin au litige et de l'issue probable de celui-ci ( ATF 142 V 551 consid. 8.2).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(arrêt 1B_67/2022 du 23 mai 2022 consid. 4 et les arrêts cités).</w:t>
      </w:r>
    </w:p>
    <w:p>
      <w:r>
        <w:rPr>
          <w:b/>
        </w:rPr>
        <w:t>E. 3</w:t>
      </w:r>
    </w:p>
    <w:p>
      <w:r>
        <w:t>En l'espèce, il ne ressort pas de l'ordonnance de mise en liberté du 24 août 2023 des éléments laissant apparaître qu'au moment de l'arrêt attaqué, la mise en liberté du recourant s'imposait. Les risques de fuite et de collusion fondant la décision entreprise étaient au contraire propres à justifier sa mise en détention provisoire selon l' art. 222 al. 1 let. a et b CPP , d'autant plus au vu des soupçons d'escroquerie retenus et du stade où en était l'enquête.</w:t>
      </w:r>
    </w:p>
    <w:p>
      <w:r>
        <w:rPr>
          <w:b/>
        </w:rPr>
        <w:t>E. 4</w:t>
      </w:r>
    </w:p>
    <w:p>
      <w:r>
        <w:t>Il s'ensuit que le recours aurait vraisemblablement été rejeté, de sorte qu'il n'y a pas lieu d'accorder des dépens. Il sera exceptionnellement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