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494/2023 vom 14. September 2023</w:t>
      </w:r>
    </w:p>
    <w:p>
      <w:r>
        <w:t>Bundesgericht, 2023-09-14, IT</w:t>
      </w:r>
    </w:p>
    <w:p>
      <w:r>
        <w:rPr>
          <w:b/>
        </w:rPr>
        <w:t xml:space="preserve">Quelle: </w:t>
      </w:r>
      <w:r>
        <w:t>https://mcp.opencaselaw.ch/entscheid/bger_7B_494_2023</w:t>
      </w:r>
    </w:p>
    <w:p>
      <w:r>
        <w:t>FR: TF 7B 494/2023 du 14 septembre 2023</w:t>
      </w:r>
    </w:p>
    <w:p>
      <w:r>
        <w:t>IT: TF 7B 494/2023 del 14 settembre 2023</w:t>
      </w:r>
    </w:p>
    <w:p>
      <w:pPr>
        <w:pStyle w:val="Heading2"/>
      </w:pPr>
      <w:r>
        <w:t>Regeste</w:t>
      </w:r>
    </w:p>
    <w:p>
      <w:r>
        <w:t>Détention pour des motifs de sûreté (retrait du recours)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7B_494/2023 est rayée du rôle.</w:t>
      </w:r>
    </w:p>
    <w:p>
      <w:r>
        <w:rPr>
          <w:b/>
        </w:rPr>
        <w:t>E. 2</w:t>
      </w:r>
    </w:p>
    <w:p>
      <w:r>
        <w:t>Il n'est pas perçu de frais judiciaires, ni alloué de dépens.</w:t>
      </w:r>
    </w:p>
    <w:p>
      <w:r>
        <w:rPr>
          <w:b/>
        </w:rPr>
        <w:t>E. 3</w:t>
      </w:r>
    </w:p>
    <w:p>
      <w:r>
        <w:t>Le présent arrêt est communiqué au recourant, au Ministère public de la République et canton de Genève, à la Chambre pénale de recours de la Cour de justice de la République et canton de Genève, et à l'avocat B.________, à Genève. Lausanne, le 14 septembre 2023 Au nom de la IIe Cour de droit pénal du Tribunal fédéral suisse La Juge présidant : Koch Le Greffier : Tinguely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