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490/2025 vom 16. Juli 2025</w:t>
      </w:r>
    </w:p>
    <w:p>
      <w:r>
        <w:t>Bundesgericht, 2025-07-16, FR</w:t>
      </w:r>
    </w:p>
    <w:p>
      <w:r>
        <w:rPr>
          <w:b/>
        </w:rPr>
        <w:t xml:space="preserve">Quelle: </w:t>
      </w:r>
      <w:r>
        <w:t>https://mcp.opencaselaw.ch/entscheid/bger_7B_490_2025</w:t>
      </w:r>
    </w:p>
    <w:p>
      <w:r>
        <w:t>FR: TF 7B 490/2025 du 16 juillet 2025</w:t>
      </w:r>
    </w:p>
    <w:p>
      <w:r>
        <w:t>IT: TF 7B 490/2025 del 16 luglio 2025</w:t>
      </w:r>
    </w:p>
    <w:p>
      <w:pPr>
        <w:pStyle w:val="Heading2"/>
      </w:pPr>
      <w:r>
        <w:t>Regeste</w:t>
      </w:r>
    </w:p>
    <w:p>
      <w:r>
        <w:t>Ordonnance de non-entrée en matière; irrecevabilité du recours en matière pénale (motivation insuffisante) | Procédure pénale</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résultant de l'infraction alléguée, sont fondées sur le droit civil et doivent en conséquence être déduites ordinairement devant les tribunaux civils. Il s'agit principalement des prétentions en réparation du dommage et du tort moral au sens des art. 41 ss CO , à l'exclusion de toute prétention de nature purement contractuelle ( ATF 148 IV 432 consid. 3.1.2 et 3.3; 146 IV 76 consid. 3.1). En vertu de l' art. 42 al. 1 LTF , il incombe à la partie recourante d'alléguer les faits qu'elle considère comme propres à fonder sa qualité pour recourir et d'expliquer dans son mémoire au Tribunal fédéral quelles prétentions civiles elle entend faire valoir contre la ou les parties intimées.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de la nature de l'infraction alléguée ( ATF 141 IV 1 consid. 1.1). Il peut en aller ainsi en cas d'infraction portant directement atteinte à l'intégrité physique, psychique ou sexuelle, dont la gravité apparaît telle qu'elle ouvrirait incontestablement le droit à des dommages-intérêts ou à une indemnité pour tort moral (arrêts 7B_304/2025 du 23 mai 2025 consid. 1.2.1; 7B_913/2024 du 17 octobre 2024 consid. 1.1).</w:t>
      </w:r>
    </w:p>
    <w:p>
      <w:r>
        <w:rPr>
          <w:b/>
        </w:rPr>
        <w:t>E. 1.2</w:t>
      </w:r>
    </w:p>
    <w:p>
      <w:r>
        <w:t>Le recourant ne s'exprime nullement sur un éventuel tort moral ou dommage, ni sur leur principe ni sur leur quotité. Il n'explique en particulier pas en quoi il disposerait de prétentions fondées sur le droit civil, d'éventuelles prétentions reposant sur le droit public à raison de la responsabilité éventuelle d'agents de l'État n'entrant pas dans cette catégorie (cf. ATF 146 IV 76 consid. 3; arrêt 7B_304/2025 du 23 mai 2025 consid. 1.2.1). Il ne rend pas non plus vraisemblable l'existence des "graves traumatismes" dont il fait état ni ne chiffre, même grossièrement, le dommage, respectivement le tort moral qui pourrait en résulter. On ne peut en outre pas déduire, directement et sans ambiguïté, de la nature des infractions - telles qu'alléguées dans le recours - quelles seraient concrètement les prétentions civiles que le recourant pourrait faire valoir dans le procès pénal. La motivation du recourant sur la question des prétentions civiles, manifestement insuffisante, exclut dès lors sa qualité pour recourir sur le fond de la cause en application de l'art. 81 al. 1 let. b ch. 5 LTF.</w:t>
      </w:r>
    </w:p>
    <w:p>
      <w:r>
        <w:rPr>
          <w:b/>
        </w:rPr>
        <w:t>E. 1.3</w:t>
      </w:r>
    </w:p>
    <w:p>
      <w:r>
        <w:t>Le recourant ne propose par ailleurs aucune motivation, conforme aux exigences accrues en la matière (cf. art. 42 al. 2 et 106 al. 2 LTF), susceptible d'établir qu'il aurait été traité de façon inhumaine ou dégradante (cf. ATF 138 IV 86 consid. 3.1.1; 131 I 455 consid. 1.2.5, arrêt 7B_506/2024 du 8 juillet 2024 consid. 1.3). Il échoue ainsi à fonder sa qualité pour recourir selon les art. 10 al. 3 Cst. , 7 Pacte ONU II, 3 CEDH ou 13 par. 1 de la Convention des Nations Unies contre la torture et autres peines ou traitements cruels, inhumains ou dégradants conclue à New York le 10 décembre 1984 (RS 0.105).</w:t>
      </w:r>
    </w:p>
    <w:p>
      <w:r>
        <w:rPr>
          <w:b/>
        </w:rPr>
        <w:t>E. 1.4</w:t>
      </w:r>
    </w:p>
    <w:p>
      <w:r>
        <w:t>Le recourant ne soulève au surplus aucun grief quant à son droit de porter plainte au sens de l'art. 81 al. 1 let. b ch. 6 LTF, ni n'invoque une violation de ses droits de partie équivalant à un déni de justice formel (cf. ATF 146 IV 76 consid. 2; 141 IV 1 consid. 1.1), du moins pas de manière compréhensible, respectivement conforme aux exigences de motivation posées aux art. 42 al. 2 et 106 al. 2 LTF.</w:t>
      </w:r>
    </w:p>
    <w:p>
      <w:r>
        <w:rPr>
          <w:b/>
        </w:rPr>
        <w:t>E. 2</w:t>
      </w:r>
    </w:p>
    <w:p>
      <w:r>
        <w:t>L'irrecevabilité manifeste du recours doit dès lors être constatée dans la procédure simplifiée prévue par l' art. 108 al. 1 let. b LTF . Comme le recours était d'emblée dénué de chances de succès, la demande d'assistance judiciaire doit être rejetée ( art. 64 al. 1 LTF ), ce qui relève également de la compétence du juge unique prévue par l' art. 108 LTF ( art. 64 al. 3 2 e phrase LTF; arrêt 7B_506/2024 du 8 juillet 2024 consid. 2). Le recourant, qui succombe, supportera les frais judiciaires; ceux-ci seront toutefois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