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48/2023 vom 29. Januar 2024</w:t>
      </w:r>
    </w:p>
    <w:p>
      <w:r>
        <w:t>Bundesgericht, 2024-01-29, FR</w:t>
      </w:r>
    </w:p>
    <w:p>
      <w:r>
        <w:rPr>
          <w:b/>
        </w:rPr>
        <w:t xml:space="preserve">Quelle: </w:t>
      </w:r>
      <w:r>
        <w:t>https://mcp.opencaselaw.ch/entscheid/bger_7B_48_2023</w:t>
      </w:r>
    </w:p>
    <w:p>
      <w:r>
        <w:t>FR: TF 7B 48/2023 du 29 janvier 2024</w:t>
      </w:r>
    </w:p>
    <w:p>
      <w:r>
        <w:t>IT: TF 7B 48/2023 del 29 gennaio 2024</w:t>
      </w:r>
    </w:p>
    <w:p>
      <w:pPr>
        <w:pStyle w:val="Heading2"/>
      </w:pPr>
      <w:r>
        <w:t>Regeste</w:t>
      </w:r>
    </w:p>
    <w:p>
      <w:r>
        <w:t>Procédure pénale; demande de mise sous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Il n'y a donc pas lieu de prendre en compte les modifications de la loi en matière de scellés entrées en vigueur le 1er janvier 2024, l'ordonnance attaquée ayant été rendue le 13 avril 2023 (cf. arrêts 7B_1008/2023 du 12 janvier 2024 consid. 2.2; 7B_997/2023 du 4 janvier 2024 consid. 1.2).</w:t>
      </w:r>
    </w:p>
    <w:p>
      <w:r>
        <w:rPr>
          <w:b/>
        </w:rPr>
        <w:t>E. 1.2</w:t>
      </w:r>
    </w:p>
    <w:p>
      <w:r>
        <w:t>Conformément à l' art. 393 al. 1 let . c CPP, le recours au sens du CPP n'est ouvert contre les décisions du Tribunal des mesures de contrainte que dans les cas prévus par ledit code. Aux termes de l' art. 248 al. 3 let. a a CPP , cette autorité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sens des art. 78 ss LTF est ainsi en principe directement ouverte contre de tels prononcés (art. 80 al. 2 in fine LTF; ATF 144 IV 74 consid. 2.3; 143 IV 462 consid. 1).</w:t>
      </w:r>
    </w:p>
    <w:p>
      <w:r>
        <w:rPr>
          <w:b/>
        </w:rPr>
        <w:t>E. 1.3</w:t>
      </w:r>
    </w:p>
    <w:p>
      <w:r>
        <w:t>Ne mettant pas un terme à la procédure pénale dirigée contre le recourant, l'ordonnance attaquée est de nature incidente. Le recours au Tribunal fédéral n'est dès lors en principe recevable qu'en présence d'un risque de préjudice irréparable au sens de l' art. 93 al. 1 let. a LTF . Cela étant, le recours est dirigé contre une décision d'irrecevabilité, le TMC ayant considéré la demande de mise sous scellés formée par le recourant le 2 mars 2023 comme tardive. Cela équivaut à un déni de justice permettant l'entrée en matière indépendamment de l'existence d'un risque de préjudice irréparable au sens de l' art. 93 al. 1 let. a LTF (cf. ATF 143 I 344 consid. 1.2; 138 IV 258 consid. 1.1; arrêts 7B_47/2023 du 21 septembre 2023 consid. 1.2; 1B_321/2022 du 30 novembre 2022 consid. 1.2; 1B_510/2020 du 12 février 2021 consid. 1.2).</w:t>
      </w:r>
    </w:p>
    <w:p>
      <w:r>
        <w:rPr>
          <w:b/>
        </w:rPr>
        <w:t>E. 2</w:t>
      </w:r>
    </w:p>
    <w:p>
      <w:r>
        <w:t>Dans une première partie "en fait" de son mémoire de recours, le recourant se contente essentiellement de présenter une version personnelle de certains éléments de l'ordonnance attaquée. Ce faisant, il s'écarte des faits retenus par l'autorité précédente ou les complète, sans démontrer que ceux-ci seraient manifestement inexacts ou incomplets (cf. art. 97 al. 1 LTF ). Son exposé est dès lors appellatoire, partant irrecevable (cf. art. 106 al. 2 LTF ).</w:t>
      </w:r>
    </w:p>
    <w:p>
      <w:r>
        <w:rPr>
          <w:b/>
        </w:rPr>
        <w:t>E. 3.1</w:t>
      </w:r>
    </w:p>
    <w:p>
      <w:r>
        <w:t>Le recourant reproche à la cour cantonale d'avoir considéré que ses déclarations du 21 février 2023 ne constituaient pas une demande de mise sous scellés, respectivement que sa demande de mise sous scellés datait du 2 mars 2023 et qu'elle était dès lors tardive. Il se plaint d'une constatation inexacte des faits, d'une violation des art. 248 cum 264 a CPP et de formalisme excessif.</w:t>
      </w:r>
    </w:p>
    <w:p>
      <w:r>
        <w:rPr>
          <w:b/>
        </w:rPr>
        <w:t>E. 3.2.1</w:t>
      </w:r>
    </w:p>
    <w:p>
      <w:r>
        <w:t>L' art. 248 al. 1 CPP , relatif à la demande de mise sous scellés, a été modifié au 1er janvier 2024 (RO 2023 468); il dispose désormais que "si le détenteur s'oppose au séquestre de certains documents, enregistrements ou autres objets en vertu de l'art. 264,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L'ordonnance attaqué ayant été rendue le 13 avril 2023, il n'y a pas lieu en l'espèce de prendre en compte la modification de la disposition susmentionnée (cf. consid. 1.1 supra ).</w:t>
      </w:r>
    </w:p>
    <w:p>
      <w:r>
        <w:rPr>
          <w:b/>
        </w:rPr>
        <w:t>E. 3.2.2</w:t>
      </w:r>
    </w:p>
    <w:p>
      <w:r>
        <w:t>En vertu de l'art. 248 al. 1 aCPP - dans sa teneur en vigueur jusqu'au 31 décembre 2023 (RO 2020 1881)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3.2.3</w:t>
      </w:r>
    </w:p>
    <w:p>
      <w:r>
        <w:t>Dans le cadre de l'application de l'art. 248 al. 1 aCPP, la jurisprudence prévoit que la requête de mise sous scellés, après que l'ayant droit a été informé de cette possibilité, doit être formulée immédiatement, soit en relation temporelle directe avec la mesure coercitive; cette demande coïncide donc en principe avec l'exécution de la perquisition, respectivement la production des documents requis (arrêts 7B_47/2023 du 21 septembre 2023 consid. 3.1.1; 1B_612/2022 du 15 mai 2023 consid. 3.1; 1B_564/2022 du 14 février 2023 consid. 3.1 et les références citées). L'exigence d'immédiateté tend à empêcher que la police ou le ministère public prenne connaissance du contenu des documents avant leur mise sous scellés; elle vise également à éviter tout retard dans le déroulement de la procédure pénale conformément au principe de la célérité qui prévaut en matière pénale ( art. 5 CPP ), répondant ainsi à un intérêt public évident (arrêts 7B_47/2023 précité consid 3.1.1; 1B_564/2022 du 14 février 2023 consid. 3.1; 1B_24/2019 du 27 février 2019 consid. 2.2). Cependant, afin de garantir une protection effective des droits de l'intéressé, celui-ci doit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En revanche, une requête déposée plusieurs semaines ou mois après la perquisition est en principe tardive (arrêts 7B_47/2023 précité consid. 3.1.1; 1B_277/2021 du 17 août 2021 consid. 2.3; 1B_30/2020 du 27 mai 2020 consid. 2.3; 1B_474/2019 du 6 mai 2020 consid. 1.3.2 et les arrêts cités). Cette appréciation dépend avant tout des circonstances du cas d'espèce (arrêts 7B_47/2023 précité consid. 3.1.1; 1B_564/2022 du 14 février 2023 consid. 3.1; 1B_381/2022 du 3 novembre 2022 consid. 2; 1B_277/2021 du 17 août 2021 consid. 2.3).</w:t>
      </w:r>
    </w:p>
    <w:p>
      <w:r>
        <w:rPr>
          <w:b/>
        </w:rPr>
        <w:t>E. 3.2.4</w:t>
      </w:r>
    </w:p>
    <w:p>
      <w:r>
        <w:t>Selon la jurisprudence rendue en application de l'art. 248 al. 1 aCPP, celui qui, au cours de la procédure de levée des scellés devant le TMC, a requis la mise sous scellés a l'obligation procédurale de motiver de manière suffisamment étayée les motifs, au sens de cette disposition, qu'il a invoqués ( ATF 141 IV 77 consid. 4.3 p. 81 et 5.6; 138 IV 225 consid. 7.1; arrêts 1B_522/2019 du 4 février 2020 consid. 2.1; 1B_153/2019 du 11 décembre 2019 consid. 1.2; 1B_382/2017 du 22 décembre 2017 consid. 3.1). En revanche, ni la loi, ni la jurisprudence du Tribunal fédéral n'exigent que celui visé par une perquisition et une saisie provisoire justifie en détail sa demande de mise sous scellés (arrêts 1B_522/2019 précité consid. 2.1; 1B_382/2017 du 22 décembre 2017 consid. 3.1). Il suffit d'ailleurs de comprendre des déclarations de l'intéressé qu'il entend s'opposer à la perquisition ou à la saisie opérée en raison d'un droit de refuser de déposer ou de secrets à protéger; une demande formelle de mise sous scellés n'est ainsi pas exigée (arrêts 1B_522/2019 précité consid. 2.1; 1B_477/2012 du 13 février 2013 consid. 3.2; 1B_309/2012 du 6 novembre 2012 consid. 5.3 et 5.4 publié in Pra 2013 19 157). Pour ce faire, l'intéressé doit notamment invoquer un motif de mise sous scellés, sans avoir à ce stade à l'expliciter d'une manière détaillée (arrêts 1B_522/2019 précité consid. 2.1; 1B_382/2017 du 22 décembre 2017 consid. 3.2). Le requérant n'a donc pas à apporter la preuve formelle du motif avancé, celui-ci devant uniquement être rendu vraisemblable (arrêt 1B_522/2019 précité consid. 2.1 et les références citées). Il s'ensuit que, selon notamment les éléments saisis et/ou la personne requérant la mesure de protection, l'indication d'un des motifs de l'art. 248 al. 1 aCPP peut suffire à rendre le motif invoqué vraisemblable. Cette conclusion s'impose d'autant plus eu égard aux exigences en matière de célérité que la jurisprudence impose en cas de demande de mise sous scellés (arrêts 1B_522/2019 précité consid. 2.1; 1B_268/2019 du 25 novembre 2019 consid. 3.1; 1B_24/2019 du 27 février 2019 consid. 2.2 et les nombreux arrêts cités). Il peut cependant découler des circonstances la nécessité de motiver brièvement la requête de mise sous scellés, dès lors que la jurisprudence permet aussi aux autorités de poursuite pénale d'écarter d'emblée une demande de mise sous scellés lorsque celle-ci est manifestement mal fondée ou abusive, notamment dans le cas où la légitimation du requérant fait manifestement défaut ou encore lorsque la requête est manifestement tardive (arrêts 1B_522/2019 précité consid. 2.1; 1B_24/2019 du 27 février 2019 consid. 2.1 et les références citées en lien avec les hypothèses évoquées). En revanche, si le profane en matière juridique n'est pas correctement informé par l'autorité de poursuite pénale de son droit d'apposer des scellés, une mise sous scellés ne peut pas être refusée au motif que la personne concernée n'a pas encore expressément invoqué, lors de la saisie, des droits au secret comme obstacle au séquestre (arrêts 1B_273/2021 du 2 mars 2022 consid. 3.3; 1B_219/2017 du 23 août 2017 consid. 3.1; 1B_382/2017 du 22 décembre 2017 consid. 3.2; 1B_309/2012 du 6 novembre 2012 consid. 5.3).</w:t>
      </w:r>
    </w:p>
    <w:p>
      <w:r>
        <w:rPr>
          <w:b/>
        </w:rPr>
        <w:t>E. 3.2.5</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arrêts 7B_47/2023 précité consid. 3.1.2; 6B_588/2022 du 8 mai 2023 consid. 3.1.3).</w:t>
      </w:r>
    </w:p>
    <w:p>
      <w:r>
        <w:rPr>
          <w:b/>
        </w:rPr>
        <w:t>E. 3.3</w:t>
      </w:r>
    </w:p>
    <w:p>
      <w:r>
        <w:t>Le TMC a retenu que le recourant avait dûment été informé, avant la perquisition, de son droit de requérir l'apposition de scellés. La mention contenue à cet égard dans l'ordonnance de perquisition du Ministère public du 12 décembre 2022 ne souffrait aucune ambiguïté et était parfaitement intelligible pour un profane. Il ressortait par ailleurs de l'audition du recourant par la police que celui-ci avait compris l'existence de ce droit puisqu'après avoir donné les codes de déverrouillage de ses appareils électroniques, il avait précisé qu'il allait "se référer à son avocat pour l'extraction de ses données dans le cadre de tous les séquestres qui le concernaient" et qu'avec son conseil, "il contacterait le Magistrat en temps voulu". L'autorité précédente a ensuite constaté qu'il ne ressortait pas du dossier qu'au moment de la perquisition, le recourant aurait sollicité la mise sous scellés ou, plus généralement, qu'il aurait signalé que les appareils et documents séquestrés contenaient des secrets protégés ou qu'il aurait d'autres motifs à faire valoir. Au contraire, aucune case n'avait été cochée sous la rubrique "scellé" du premier inventaire manuscrit établi sur place. Il ne ressortait par ailleurs pas du procès-verbal de l'audition du recourant que, lors de celle-ci, il aurait invoqué un quelconque secret couvrant les objets séquestrés alors que, après que les policiers lui avaient demandé les codes de déverrouillage de ses appareils électroniques, il ne pouvait lui échapper que le contenu de ceux-ci serait examiné par les autorités pénales. Il ressortait en revanche dudit procès-verbal que le jour de son audition, le recourant envisageait de demander la mise sous scellés une fois qu'il aurait pris conseil auprès d'un avocat, lequel se chargerait, le cas échéant, d'intervenir auprès de la direction de la procédure. Or le seul fait d'avoir déclaré, le 21 février 2023, envisager de demander une mise sous scellés et de l'alléguer ne suffisait pas pour considérer qu'une telle demande avait été formulée à ce moment-là. Dans son courrier du 2 mars 2023, le conseil du recourant n'avait au demeurant nullement précisé que la demande de mise sous scellés exprimée était la confirmation d'une demande précédemment formulée. Dans ces circonstances, le TMC a considéré que la demande de mise sous scellés des objets séquestrés le 21 février 2023 avait été formulée le 2 mars 2023 et qu'elle était par conséquent tardive.</w:t>
      </w:r>
    </w:p>
    <w:p>
      <w:r>
        <w:rPr>
          <w:b/>
        </w:rPr>
        <w:t>E. 3.4.1</w:t>
      </w:r>
    </w:p>
    <w:p>
      <w:r>
        <w:t>Le recourant reproche au TMC d'avoir constaté les faits de manière manifestement insoutenable et d'avoir fait preuve de formalisme excessif en considérant que les déclarations faites le 21 février 2023 ne constituaient pas une demande de mise sous scellés. Son argumentation ne résiste pas à l'examen. En effet, il est constant que le jour en question, le recourant a uniquement fait part de son intention de déposer des scellés sur les objets séquestrés une fois son avocat consulté, sans toutefois évoquer un quelconque motif de mise sous scellés. Or en affirmant que la demande de mise sous scellés n'est soumise à aucune condition de forme, le recourant méconnaît que, selon la jurisprudence du Tribunal fédéral, les motifs de scellés doivent tout de même être rendus vraisemblables, quelle que soit la forme de la demande (cf. consid. 3.2.4 supra ). Par la simple déclaration selon laquelle il allait s'en référer à son avocat sur ce point, le recourant n'a pas rendu vraisemblable un quelconque motif susceptible de justifier une mise sous scellés. Par ailleurs, le recourant ne saurait être suivi lorsqu'il fait valoir que ses déclarations seraient néanmoins suffisantes dès lors que, le jour de la perquisition, il ignorait ses droits, respectivement ses devoirs, en matière de scellés. Il ne saurait en particulier se prévaloir de bonne foi de sa note manuscrite sur l'ordonnance de perquisition dont il ressort qu'il avait pris connaissance de celle-ci "sans comprendre le processus". En effet, ne pas comprendre les circonstances de la perquisition ne signifie pas encore ignorer ses droits en matière de scellés. Or, directement après avoir donné les codes de déverrouillage de ses appareils électroniques, le recourant a fait part de son intention de se référer à son avocat pour l'extraction des données contenues dans ceux-ci, démontrant ainsi avoir compris le passage de l'ordonnance concernant le mécanisme de la mise sous scellés. Au vu des indications précises figurant dans ladite ordonnance et de la compréhension qu'en a eue le recourant, il ne peut pas raisonnablement prétendre qu'il ignorait son devoir d'agir rapidement s'il entendait faire une requête en ce sens. Dans ces circonstances, on ne saurait reprocher à la juridiction précédente d'avoir versé dans l'arbitraire, ni d'avoir fait preuve de formalisme excessif, en considérant que les déclarations faites par le recourant le 21 février 2023 n'étaient pas suffisantes pour constituer une demande de mise sous scellés.</w:t>
      </w:r>
    </w:p>
    <w:p>
      <w:r>
        <w:rPr>
          <w:b/>
        </w:rPr>
        <w:t>E. 3.4.2</w:t>
      </w:r>
    </w:p>
    <w:p>
      <w:r>
        <w:t>Le recourant invoque une violation des art. 248 et 264a CPP , faisant valoir que, le 21 février 2023, il aurait immédiatement demandé la mise sous scellés des objets saisis. Ses déclarations du 21 février 2023 ne constituant pas une demande de mise sous scellés (cf. consid. 3.4.1 supra ), son grief est mal fondé. Par ailleurs, contrairement à ce que semble prétendre le recourant, la demande de mise sous scellés formulée par son conseil le 2 mars 2023, soit 9 jours après la saisie des objets en cause, apparaît tardive au vu de la jurisprudence précitée (cf. consid. 3.2.3 supra ), la procédure n'apparaissant pas de complexité particulière.</w:t>
      </w:r>
    </w:p>
    <w:p>
      <w:r>
        <w:rPr>
          <w:b/>
        </w:rPr>
        <w:t>E. 4</w:t>
      </w:r>
    </w:p>
    <w:p>
      <w:r>
        <w:t>Il s'ensuit que le recours doit être rejeté. Le recourant, qui succombe, supportera les frais judiciaires ( art. 66 al. 1 LTF ). Le recours étant d'emblée dénué de chances de succès, la demande d'assistance judiciaire doit être rejetée ( art. 64 al. 1 LTF ). Toutefois, eu égard à la situation financière du recourant, il se justifie de réduire les frais de procédure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