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7B_488/2026 vom 7. Mai 2026</w:t>
      </w:r>
    </w:p>
    <w:p>
      <w:r>
        <w:t>Bundesgericht, 2026-05-07, FR</w:t>
      </w:r>
    </w:p>
    <w:p>
      <w:r>
        <w:rPr>
          <w:b/>
        </w:rPr>
        <w:t xml:space="preserve">Quelle: </w:t>
      </w:r>
      <w:r>
        <w:t>https://mcp.opencaselaw.ch/entscheid/bger_7B_488_2026</w:t>
      </w:r>
    </w:p>
    <w:p>
      <w:r>
        <w:t>FR: TF 7B_488/2026 du 7 mai 2026</w:t>
      </w:r>
    </w:p>
    <w:p>
      <w:r>
        <w:t>IT: TF 7B_488/2026 del 7 maggio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rPr>
          <w:b/>
        </w:rPr>
        <w:t>E. 1.2</w:t>
      </w:r>
    </w:p>
    <w:p>
      <w:r>
        <w:t>Face aux motifs de l'arrêt attaqué - selon lesquels l'existence d'un empêchement de procéder au sens de l' art. 94 al. 1 CPP n'était pas démontré (cf. arrêt attaqué, consid. 2 p. 4 ss) -, la recourante se limite à exposer certains faits et à lister plusieurs griefs relatifs à une prétendue violation du droit fédéral ainsi que de ses droits fondamentaux, sans toutefois discuter plus avant les considérants de la décision querellée. Ce faisant, elle n'articule aucune critique, conforme aux exigences en la matière, susceptible d'établir que l'autorité précédente aurait violé le droit fédéral ou conventionnel en rejetant son recours cantonal.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La recourante, qui succombe, supportera les frais judiciaires; ceux-ci seront toutefois fixés en tenant compte de sa situation financière (art. 65 al. 2 et 66 al. 1 LTF).</w:t>
      </w:r>
    </w:p>
    <w:p>
      <w:r>
        <w:t>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