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7B_487/2023 vom 25. September 2023</w:t>
      </w:r>
    </w:p>
    <w:p>
      <w:r>
        <w:t>Bundesgericht, 2023-09-25, DE</w:t>
      </w:r>
    </w:p>
    <w:p>
      <w:r>
        <w:rPr>
          <w:b/>
        </w:rPr>
        <w:t xml:space="preserve">Quelle: </w:t>
      </w:r>
      <w:r>
        <w:t>https://mcp.opencaselaw.ch/entscheid/bger_7B_487_2023</w:t>
      </w:r>
    </w:p>
    <w:p>
      <w:r>
        <w:t>FR: TF 7B_487/2023 du 25 septembre 2023</w:t>
      </w:r>
    </w:p>
    <w:p>
      <w:r>
        <w:t>IT: TF 7B_487/2023 del 25 settembre 2023</w:t>
      </w:r>
    </w:p>
    <w:p>
      <w:pPr>
        <w:pStyle w:val="Heading2"/>
      </w:pPr>
      <w:r>
        <w:t>Erwägungen</w:t>
      </w:r>
    </w:p>
    <w:p>
      <w:r>
        <w:rPr>
          <w:b/>
        </w:rPr>
        <w:t>E. 1.1</w:t>
      </w:r>
    </w:p>
    <w:p>
      <w:r>
        <w:t>Angefochten ist ein Entscheid über die Entsiegelung von einem Datenträger, der in einem strafprozessualen Untersuchungsverfahren in Anwendung von Art. 246 ff. StPO sichergestellt wurde. Die Vorinstanz hat gemäss Art. 248 Abs. 3 lit. a i.V.m. Art. 380 StPO als einzige kantonale Instanz entschieden, weshalb die Beschwerde in Strafsachen an das Bundesgericht nach Art. 78 ff. BGG grundsätzlich offensteht. Der Beschwerdeführer ist als beschuldigte Person zur Beschwerde legitimiert (Art. 81 Abs. 1 lit. a und b Ziff. 1 BGG).</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Urteil 1B_611/2021 vom 12. Mai 2022 E. 1.2). Diese Voraussetzung ist vorliegend erfüllt. Die weiteren Eintretensvoraussetzungen geben zu keinen Bemerkungen Anlass. Auf die Beschwerde ist einzutreten.</w:t>
      </w:r>
    </w:p>
    <w:p>
      <w:r>
        <w:rPr>
          <w:b/>
        </w:rPr>
        <w:t>E. 2</w:t>
      </w:r>
    </w:p>
    <w:p>
      <w:r>
        <w:t>Die Vorinstanz hat in ihrem Entscheid sowohl das Vorliegen eines hinreichenden Tatverdachts, einen Deliktskonnex als auch die Verhältnismässigkeit der durch die Staatsanwaltschaft beantragten Durchsuchung des sichergestellten Mobiltelefons bejaht. Sodann hat sie festgehalten, mangels eines vorbestehenden Mandatsverhältnisses sei auf die Aussonderung der Anwaltskorrespondenz der Verteidigerin des Beschwerdeführers zu verzichten, weshalb das versiegelte Mobiltelefon ohne Einschränkungen zur Durchsuchung freizugeben sei.</w:t>
      </w:r>
    </w:p>
    <w:p>
      <w:r>
        <w:t>Der Beschwerdeführer bestreitet die grundsätzlich Zulässigkeit der Durchsuchung seines Mobiltelefons vor Bundesgericht nicht. Er wendet sich einzig insofern gegen den angefochtenen Entscheid, als darauf verzichtet wurde, die von ihm geltend gemachte Anwaltskorrespondenz vorgängig auszusondern. Er rügt, er sei seiner diesbezüglichen Substanziierungspflicht hinreichend nachgekommen, weshalb der angefochtene Entscheid Art. 248 StPO verletze. Mit Schreiben vom 24. August 2023 hält er überdies fest, dass selbst die Staatsanwaltschaft sich mit einer Aussonderung der geltend gemachten Anwaltskorrespondenz einverstanden zeige und umso weniger sei der Entscheid des Zwangsmassnahmengerichts nachvollziehbar.</w:t>
      </w:r>
    </w:p>
    <w:p>
      <w:r>
        <w:rPr>
          <w:b/>
        </w:rPr>
        <w:t>E. 3.1</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(zum Ganzen: Urteil 1B_369/2022 vom 10. Oktober 2022 E. 4.2; mit Hinweisen). Dies gilt auch im Zusammenhang mit der Anrufung des Anwaltsgeheimnisses als gesetzliches Entsiegelungshindernis (Urteil 1B_563/2022 vom 19. Januar 2023 E. 3.1 mit Hinweisen).</w:t>
      </w:r>
    </w:p>
    <w:p>
      <w:r>
        <w:rPr>
          <w:b/>
        </w:rPr>
        <w:t>E. 3.2</w:t>
      </w:r>
    </w:p>
    <w:p>
      <w:r>
        <w:t>Der Beschwerdeführer hat im vorinstanzlichen Verfahren klar zum Ausdruck gebracht, dass geschützte Anwaltskorrespondenz per E-Mail geführt worden sei und die fragliche E-Mail-Adresse ("xxx") angegeben. Damit hat er plausibel vorgebracht, dass bereits vor seiner Verhaftung ein Mandatsverhältnis bestand und Korrespondenz erfolgte, welche einem absoluten Beschlagnahme- und Entsiegelungsverbot unterliegt (vgl. BGE 147 IV 385 E. 2.5; 141 IV 77 E. 5.2; 138 IV 225 E. 6.1). Einer weiteren Substanziierung bedurften die Ausführungen des Beschwerdeführers nicht. Damit steht fest, dass die geschützte Anwaltskorrespondenz, entgegen der Auffassung der Vorinstanz, auszusondern ist. Die Beschwerde erweist sich als offensichtlich begründet. Die Vorinstanz wird vor der Freigabe des sichergestellten Mobiltelefons zur Durchsuchung allfällige sich darauf befindliche Anwaltskorrespondenz auszusondern haben.</w:t>
      </w:r>
    </w:p>
    <w:p>
      <w:r>
        <w:rPr>
          <w:b/>
        </w:rPr>
        <w:t>E. 4</w:t>
      </w:r>
    </w:p>
    <w:p>
      <w:r>
        <w:t>Nach dem Gesagten ist die Beschwerde im vereinfachten Verfahren nach Art. 109 Abs. 2 lit. b BGG gutzuheissen. Der angefochtene Entscheid ist aufzuheben und die Entsiegelungssache zur Neubeurteilung im Sinne der Erwägungen an die Vorinstanz zurückzuweisen. Das Gesuch um aufschiebende Wirkung wird damit gegenstandslos.</w:t>
      </w:r>
    </w:p>
    <w:p>
      <w:r>
        <w:t>Bei diesem Ausgang des Verfahrens sind keine Gerichtskosten zu erheben ( Art. 66 Abs. 4 BGG ). Der Beschwerdeführer hat Anspruch auf eine angemessene Entschädigung für das bundesgerichtliche Verfahren ( Art. 68 Abs. 1 und 2 BGG ). Diese ist praxisgemäss seiner Verteidigerin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