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7B_47/2024 vom 13. Januar 2025</w:t>
      </w:r>
    </w:p>
    <w:p>
      <w:r>
        <w:t>Bundesgericht, 2025-01-13, DE</w:t>
      </w:r>
    </w:p>
    <w:p>
      <w:r>
        <w:rPr>
          <w:b/>
        </w:rPr>
        <w:t xml:space="preserve">Quelle: </w:t>
      </w:r>
      <w:r>
        <w:t>https://mcp.opencaselaw.ch/entscheid/bger_7B_47_2024</w:t>
      </w:r>
    </w:p>
    <w:p>
      <w:r>
        <w:t>FR: TF 7B_47/2024 du 13 janvier 2025</w:t>
      </w:r>
    </w:p>
    <w:p>
      <w:r>
        <w:t>IT: TF 7B_47/2024 del 13 gennaio 2025</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Urteile 7B_182/2024 vom 26. März 2024 E. 2.1.2; 6B_562/2021 vom 7. April 2022 E. 1.1, nicht publ. in: BGE 148 IV 170 ).</w:t>
      </w:r>
    </w:p>
    <w:p>
      <w:r>
        <w:rPr>
          <w:b/>
        </w:rPr>
        <w:t>E. 1.2</w:t>
      </w:r>
    </w:p>
    <w:p>
      <w:r>
        <w:t>Richtet sich die Beschwerde gegen die Nichtanhandnahme oder Einstellung eines Verfahrens, muss die geschädigte Person im Verfahren vor Bundesgericht darlegen, aus welchen Gründen und inwiefern sich der angefochtene Entscheid auf welchen konkreten Zivilanspruch auswirken kann (vgl. Urteile 7B_120/2022 vom 5. Oktober 2023 E. 1.3.1; 6B_1398/2021 vom 15. November 2022 E. 1.2;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diese erfüllt sind (Urteile 6B_787/2022 vom 5. Dezember 2022 E. 2.2.2; 6B_1398/2021 vom 15. November 2022 E. 1.2; 6B_637/2021 vom 21. Januar 2022 E. 2.1). Dabei reicht nicht aus, dass die Privatklägerschaft lediglich behauptet, von der fraglichen Straftat betroffen zu sein; sie muss vielmehr die Anspruchsvoraussetzungen und namentlich den erlittenen Schaden genau substanziieren und letzteren soweit möglich beziffern (vgl. Urteile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(statt vieler: Urteile 7B_182/2024 vom 26. März 2024 E. 2.1.2; 7B_18/2024 vom 14. März 2024 E. 2; je mit Hinweisen).</w:t>
      </w:r>
    </w:p>
    <w:p>
      <w:r>
        <w:rPr>
          <w:b/>
        </w:rPr>
        <w:t>E. 1.3</w:t>
      </w:r>
    </w:p>
    <w:p>
      <w:r>
        <w:t>Die Beschwerdeführerin äussert sich nicht näher zu ihrer Beschwerdelegitimation. Sie führt dazu bloss aus, sie sei durch den angefochtenen Beschluss "besonders berührt" und habe "ein schutzwürdiges Interesse an dessen Aufhebung bzw. Änderung". Inwiefern ihr aus den behaupteten Straftaten ein allfälliger Zivilanspruch zustehen sollte, legt sie indessen nicht dar. Soweit sie in der Hauptsache unter anderem erwähnt, sie habe sich nach dem Vorfall vom 5. November 2022 notfallmässig in ärztliche Behandlung begeben müssen, sie habe nicht nur unter körperlichen, sondern auch unter erheblichen psychischen Symptomen gelitten und als Folge des Vorfalls sei sie arbeitsunfähig gewesen, weist sie jedenfalls keine mögliche Forderung auf Schadenersatz oder Genugtuung aus. Dass die behaupteten Schläge gegen das Brustbein unmittelbar zu einer so starken Beeinträchtigung ihrer körperlichen oder psychischen Integrität geführt hätten, dass sich daraus ohne Weiteres ein einklagbarer Zivilanspruch ergäbe, ist jedenfalls nicht offensichtlich.</w:t>
      </w:r>
    </w:p>
    <w:p>
      <w:r>
        <w:rPr>
          <w:b/>
        </w:rPr>
        <w:t>E. 2</w:t>
      </w:r>
    </w:p>
    <w:p>
      <w:r>
        <w:t>Auf die Beschwerde ist mangels Beschwerdelegitimation nicht einzutreten.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