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474/2024 vom 30. Mai 2024</w:t>
      </w:r>
    </w:p>
    <w:p>
      <w:r>
        <w:t>Bundesgericht, 2024-05-30, FR</w:t>
      </w:r>
    </w:p>
    <w:p>
      <w:r>
        <w:rPr>
          <w:b/>
        </w:rPr>
        <w:t xml:space="preserve">Quelle: </w:t>
      </w:r>
      <w:r>
        <w:t>https://mcp.opencaselaw.ch/entscheid/bger_7B_474_2024</w:t>
      </w:r>
    </w:p>
    <w:p>
      <w:r>
        <w:t>FR: TF 7B 474/2024 du 30 mai 2024</w:t>
      </w:r>
    </w:p>
    <w:p>
      <w:r>
        <w:t>IT: TF 7B 474/2024 del 30 maggio 2024</w:t>
      </w:r>
    </w:p>
    <w:p>
      <w:pPr>
        <w:pStyle w:val="Heading2"/>
      </w:pPr>
      <w:r>
        <w:t>Regeste</w:t>
      </w:r>
    </w:p>
    <w:p>
      <w:r>
        <w:t>Ordonnance de refus de reprise de la procédure, irrecevabilité du recours en matière pénale (motivation insuffisante), | Procédure pénale</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ressortant de la décision entreprise (cf. arrêt attaqué, consid. 4), le recourant ne propose aucune critique topique propre à mettre en évidence en quoi la cour cantonale aurait violé le droit (soit en particulier l' art. 385 CPP ) en déclarant son recours cantonal irrecevable en raison d'une motivation insuffisante.</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