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7B_469/2023 vom 3. September 2024</w:t>
      </w:r>
    </w:p>
    <w:p>
      <w:r>
        <w:t>Bundesgericht, 2024-09-03, DE</w:t>
      </w:r>
    </w:p>
    <w:p>
      <w:r>
        <w:rPr>
          <w:b/>
        </w:rPr>
        <w:t xml:space="preserve">Quelle: </w:t>
      </w:r>
      <w:r>
        <w:t>https://mcp.opencaselaw.ch/entscheid/bger_7B_469_2023</w:t>
      </w:r>
    </w:p>
    <w:p>
      <w:r>
        <w:t>FR: TF 7B_469/2023 du 3 septembre 2024</w:t>
      </w:r>
    </w:p>
    <w:p>
      <w:r>
        <w:t>IT: TF 7B_469/2023 del 3 settembre 2024</w:t>
      </w:r>
    </w:p>
    <w:p>
      <w:pPr>
        <w:pStyle w:val="Heading2"/>
      </w:pPr>
      <w:r>
        <w:t>Erwägungen</w:t>
      </w:r>
    </w:p>
    <w:p>
      <w:r>
        <w:rPr>
          <w:b/>
        </w:rPr>
        <w:t>E. 1.1</w:t>
      </w:r>
    </w:p>
    <w:p>
      <w:r>
        <w:t>Auf die frist- ( Art. 100 Abs. 1 BGG ) und formgerechte ( Art. 42 Abs. 1 BGG ) Beschwerde der Oberstaatsanwaltschaft (Art. 81 Abs. 1 lit. a und lit. b Ziff. 3 BGG [in der bis 31. Dezember 2023 geltenden Fassung, AS 2023 468]; Urteil 7B_171/2022 vom 15. April 2024 E. 1.5 mit Hinweisen) gegen den kantonal letztinstanzlichen ( Art. 80 Abs. 1 BGG ), verfahrensabschliessenden Entscheid ( Art. 90 BGG ) eines oberen Gerichts ( Art. 80 Abs. 2 BGG ) betreffend eine Strafsache ( Art. 78 Abs. 1 BGG ) ist einzutreten.</w:t>
      </w:r>
    </w:p>
    <w:p>
      <w:r>
        <w:rPr>
          <w:b/>
        </w:rPr>
        <w:t>E. 2.1</w:t>
      </w:r>
    </w:p>
    <w:p>
      <w:r>
        <w:t>Die Beschwerdeführerin macht geltend, die Voraussetzungen für die Anwendung des Verbots der "reformatio in peius" nach Art. 391 Abs. 2 StPO seien vorliegend nicht gegeben. Der Beschuldigte habe das Strafmass und die Staatsanwaltschaft die erstinstanzlich nicht angeordnete Landesverweisung mittels Berufung angefochten. Die Rechtsmittel seien damit nicht ausschliesslich zugunsten der beschuldigten Person ergriffen worden. Das Verschlechterungsverbot gelte nicht für jene Punkte, hinsichtlich derer die beschuldigte Person Berufung führe, sofern auch die Staatsanwaltschaft (in anderen Punkten) Berufung führe. Weder das Gesetz noch die Rechtsprechung würden einen grundsätzlichen Konnex zwischen den Anträgen verlangen, die eine Verschlechterung des Urteils herbeiführen sollen, und anderen Punkten, die von Amtes wegen zu diskutieren seien. Insoweit wende die Vorinstanz Art. 391 Abs. 2 StPO falsch an und nehme eine unvollständige Strafzumessung ( Art. 47 und Art. 49 StGB ) vor.</w:t>
      </w:r>
    </w:p>
    <w:p>
      <w:r>
        <w:rPr>
          <w:b/>
        </w:rPr>
        <w:t>E. 2.2</w:t>
      </w:r>
    </w:p>
    <w:p>
      <w:r>
        <w:t>Nach Art. 391 Abs. 1 StPO ist die Rechtsmittelinstanz bei ihrem Entscheid nicht gebunden an die Begründungen der Parteien (lit. a) und an die Anträge der Parteien, ausser wenn sie Zivilklagen beurteilt (lit. b). Sie darf gemäss Absatz 2 derselben Bestimmung Entscheide nicht zum Nachteil der beschuldigten oder verurteilten Person abändern, wenn das Rechtsmittel nur zu deren Gunsten ergriffen worden ist. Vorbehalten bleibt eine strengere Bestrafung aufgrund von Tatsachen, die dem erstinstanzlichen Gericht nicht bekannt sein konnten. Weiter darf sie gemäss Art. 391 Abs. 3 StPO Entscheide im Zivilpunkt nicht zum Nachteil der Privatklägerschaft abändern, wenn nur von dieser ein Rechtsmittel ergriffen worden ist.</w:t>
      </w:r>
    </w:p>
    <w:p>
      <w:r>
        <w:t>Das Bundesgericht hat in BGE 147 IV 167 erwogen, die in Art. 391 Abs. 2 StPO vorgesehene Schutzwirkung würde vereitelt, wenn die Anschlussberufung das Schlechterstellungsverbot überschiessend - über die zulasten des Beschuldigten gestellten Anträge hinaus - beseitigen würde. Dies gelte sinngemäss auch, wenn zulasten der beschuldigten Person eigenständig Berufung erhoben werde. Ein zulasten des Beschuldigten erhobenes Rechtsmittel mache den erstinstanzlichen Entscheid im Rahmen der gestellten Anträge zum Gegenstand des zweitinstanzlichen Prozesses (a.a.O. E. 1.5.3 mit Hinweisen; etwa bestätigt in: Urteile 6B_1524/2022 vom 7. Juni 2024 E. 3.2.2; 6B_652/2023 vom 11. Dezember 2023 E. 5.3.2; vgl. zum Verbot der "reformatio in peius" auch BGE 149 IV 91 ).</w:t>
      </w:r>
    </w:p>
    <w:p>
      <w:r>
        <w:rPr>
          <w:b/>
        </w:rPr>
        <w:t>E. 2.3</w:t>
      </w:r>
    </w:p>
    <w:p>
      <w:r>
        <w:t>Die Staatsanwaltschaft hat die erstinstanzliche Strafzumessung weder selbständig noch mit Anschlussberufung angefochten, was ihr frei gestanden wäre. Sie hat sich vor Vorinstanz einzig gegen die erstinstanzlich nicht angeordnete Landesverweisung gewendet. Insoweit steht es in Einklang mit Bundesrecht, wenn sich die Vorinstanz für die Frage der Strafzumessung an die vom Beschuldigten gestellten Anträge und somit an das Verbot der "reformatio in peius" nach Art. 391 Abs. 2 StPO gebunden sieht. Denn die Anträge des Beschuldigten zielten einzig auf eine Reduktion der Strafe, und nicht etwa auf eine Erhöhung, ab.</w:t>
      </w:r>
    </w:p>
    <w:p>
      <w:r>
        <w:rPr>
          <w:b/>
        </w:rPr>
        <w:t>E. 3</w:t>
      </w:r>
    </w:p>
    <w:p>
      <w:r>
        <w:t>Die Beschwerde ist abzuweisen.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