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7B_462/2024 vom 12. Juni 2024</w:t>
      </w:r>
    </w:p>
    <w:p>
      <w:r>
        <w:t>Bundesgericht, 2024-06-12, DE</w:t>
      </w:r>
    </w:p>
    <w:p>
      <w:r>
        <w:rPr>
          <w:b/>
        </w:rPr>
        <w:t xml:space="preserve">Quelle: </w:t>
      </w:r>
      <w:r>
        <w:t>https://mcp.opencaselaw.ch/entscheid/bger_7B_462_2024</w:t>
      </w:r>
    </w:p>
    <w:p>
      <w:r>
        <w:t>FR: TF 7B_462/2024 du 12 juin 2024</w:t>
      </w:r>
    </w:p>
    <w:p>
      <w:r>
        <w:t>IT: TF 7B_462/2024 del 12 giugno 2024</w:t>
      </w:r>
    </w:p>
    <w:p>
      <w:pPr>
        <w:pStyle w:val="Heading2"/>
      </w:pPr>
      <w:r>
        <w:t>Erwägungen</w:t>
      </w:r>
    </w:p>
    <w:p>
      <w:r>
        <w:rPr>
          <w:b/>
        </w:rPr>
        <w:t>E. 1</w:t>
      </w:r>
    </w:p>
    <w:p>
      <w:r>
        <w:t>Mit Strafbefehl vom 30. November 2023 verurteilte die Staatsanwaltschaft des Kantons Solothurn A.________ wegen Förderung des rechtswidrigen Aufenthalts zu einer Geldstrafe von 20 Tagessätzen zu je Fr. 20.--, bedingt aufgeschoben bei einer Probezeit von zwei Jahren, sowie zur Tragung der Verfahrenskosten von Fr. 400.--. Dagegen erhob A.________ am 27. Dezember 2023 Einsprache. Die Staatsanwaltschaft erliess am 4. Januar 2024 einen neuen Strafbefehl und verurteilte A.________ neu zu einer Geldstrafe von 15 Tagessätzen zu je Fr. 20.--, bedingt aufgeschoben bei einer Probezeit von zwei Jahren, sowie zur Tragung der Verfahrenskosten von Fr. 400.--. Dagegen erhob A.________ erneut Einsprache und erhob gleichzeitig ein Ausstandsgesuch gegen Staatsanwältin Carmen Elmiger. Die Staatsanwältin überwies das Ausstandsgesuch an das Obergericht des Kantons Solothurn, welches das Gesuch mit Beschluss vom 8. März 2024 abwies.</w:t>
      </w:r>
    </w:p>
    <w:p>
      <w:r>
        <w:t>Mit Eingabe vom 22. April 2024 führt A.________ Beschwerde in Strafsachen an das Bundesgericht. Er beantragt die Aufhebung des Beschlusses vom 8. März 2024.</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2.2</w:t>
      </w:r>
    </w:p>
    <w:p>
      <w:r>
        <w:t>Der Beschwerdeführer setzt sich in seiner Beschwerde nicht hinreichend substanziiert mit dem angefochtenen Beschluss und der nachvollziehbaren vorinstanzlichen Begründung auseinander. Stattdessen beschränkt er sich auf rein appellatorische Kritik und spricht von einem "Skandal sondergleichen" und "dass solche Leute in seinen Angelegenheiten nie mehr entscheiden dürfen". Er legt einzig seine Sicht der Dinge dar, ohne nachvollziehbar aufzuzeigen, inwiefern die Vorinstanz mit dem angefochtenen Beschluss tatsächlich gegen das geltende Recht im Sinne von Art. 95 BGG verstossen haben soll, indem sie das Ausstandsgesuch abgewiesen hat. Der Begründungsmangel ( Art. 42 Abs. 2 BGG ) ist offensichtlich, weshalb auf die Beschwerde im Verfahren nach Art. 108 BGG nicht einzutreten ist.</w:t>
      </w:r>
    </w:p>
    <w:p>
      <w:r>
        <w:rPr>
          <w:b/>
        </w:rPr>
        <w:t>E. 3</w:t>
      </w:r>
    </w:p>
    <w:p>
      <w:r>
        <w:t>Bei diesem Verfahrensausgang sind die Gerichtskosten dem Beschwerdeführer aufzuerlegen ( Art. 66 Abs. 1 BGG ). Sein Gesuch um unentgeltliche Rechtspflege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