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7B_45/2026 vom 2. März 2026</w:t>
      </w:r>
    </w:p>
    <w:p>
      <w:r>
        <w:t>Bundesgericht, 2026-03-02, DE</w:t>
      </w:r>
    </w:p>
    <w:p>
      <w:r>
        <w:rPr>
          <w:b/>
        </w:rPr>
        <w:t xml:space="preserve">Quelle: </w:t>
      </w:r>
      <w:r>
        <w:t>https://mcp.opencaselaw.ch/entscheid/bger_7B_45_2026</w:t>
      </w:r>
    </w:p>
    <w:p>
      <w:r>
        <w:t>FR: TF 7B_45/2026 du 2 mars 2026</w:t>
      </w:r>
    </w:p>
    <w:p>
      <w:r>
        <w:t>IT: TF 7B_45/2026 del 2 marzo 2026</w:t>
      </w:r>
    </w:p>
    <w:p>
      <w:pPr>
        <w:pStyle w:val="Heading2"/>
      </w:pPr>
      <w:r>
        <w:t>Erwägungen</w:t>
      </w:r>
    </w:p>
    <w:p>
      <w:r>
        <w:rPr>
          <w:b/>
        </w:rPr>
        <w:t>E. 1</w:t>
      </w:r>
    </w:p>
    <w:p>
      <w:r>
        <w:t>Mit Beschluss vom 20. November 2025 wies das Obergericht des Kantons Zürich die Beschwerde des Beschwerdeführers gegen die Nichtanhandnahmeverfügung der Staatsanwaltschaft Zürich/Limmat vom 5. Mai 2025 ab. Der Beschwerdeführer gelangte dagegen mit Beschwerde in Strafsachen vom 12. Januar 2026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Soweit es sich bei den vom Beschwerdeführer angezeigten Personen um Personen im öffentlichen Dienst des Kantons oder der Stadt Zürich handelt, gegen die für in Ausübung amtlicher Verrichtungen einer dritten Person widerrechtlich zugefügten Schäden lediglich öffentlich-rechtliche (und keine zivilrechtlichen) Ansprüche bestehen können, ist die Beschwerde mangels Zivilanspruch offensichtlich unzulässig ( BGE 146 IV 76 E. 3.1; 133 IV 228 E. 2.3.3 ; 131 I 455 E. 1.2.4; je mit Hinweisen; § 6 i.V.m. § 1 ff. des Haftungsgesetzes des Kantons Zürich vom 14. September 1969 [HG/ZH; LS 170.1]). Formelle Rügen, zu deren Geltendmachung der Beschwerdeführer unbesehen der fehlenden Legitimation in der Sache berechtigt wäre, da sie namentlich von der Prüfung der Sache getrennt werden können und die im Ergebnis nicht auf eine materielle Überprüfung des angefochtenen Entscheids abzielen (vgl. BGE 146 IV 76 E. 2; 141 IV 1 E. 1.1), werden nicht erhoben. Auf die Beschwerde ist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