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7B_459/2025 vom 19. Juni 2025</w:t>
      </w:r>
    </w:p>
    <w:p>
      <w:r>
        <w:t>Bundesgericht, 2025-06-19, DE</w:t>
      </w:r>
    </w:p>
    <w:p>
      <w:r>
        <w:rPr>
          <w:b/>
        </w:rPr>
        <w:t xml:space="preserve">Quelle: </w:t>
      </w:r>
      <w:r>
        <w:t>https://mcp.opencaselaw.ch/entscheid/bger_7B_459_2025</w:t>
      </w:r>
    </w:p>
    <w:p>
      <w:r>
        <w:t>FR: TF 7B_459/2025 du 19 juin 2025</w:t>
      </w:r>
    </w:p>
    <w:p>
      <w:r>
        <w:t>IT: TF 7B_459/2025 del 19 giugno 2025</w:t>
      </w:r>
    </w:p>
    <w:p>
      <w:pPr>
        <w:pStyle w:val="Heading2"/>
      </w:pPr>
      <w:r>
        <w:t>Erwägungen</w:t>
      </w:r>
    </w:p>
    <w:p>
      <w:r>
        <w:rPr>
          <w:b/>
        </w:rPr>
        <w:t>E. 1.1</w:t>
      </w:r>
    </w:p>
    <w:p>
      <w:r>
        <w:t>Das Bezirksgericht Aarau sprach A.________ mit Urteil vom 24. April 2025 des Diebstahls, des versuchten Diebstahls, der falschen Anschuldigung sowie der mehrfachen Missachtung einer Eingrenzung schuldig. Unter Berücksichtigung des Widerrufs zweier weiterer Freiheitsstrafen verurteilte es ihn zu einer Gesamtstrafe von zwei Jahren Freiheitsstrafe. Mit gleichentags gefälltem Beschluss ordnete das Bezirksgericht die Sicherheitshaft von A.________ bis zum 24. Juli 2025 an. Auf eine von A.________ selbstständig an das Obergericht des Kantons Aargau erhobene Beschwerde, trat dieses mit Entscheid vom 13. Mai 2025 nicht ein.</w:t>
      </w:r>
    </w:p>
    <w:p>
      <w:r>
        <w:rPr>
          <w:b/>
        </w:rPr>
        <w:t>E. 1.2</w:t>
      </w:r>
    </w:p>
    <w:p>
      <w:r>
        <w:t>Mit Eingabe vom 16. Mai 2025, ergänzt am 10. Juni 2025 führt A.________ selbstständig Beschwerde in Strafsachen an das Bundesgericht. Er beantragt sinngemäss die Aufhebung des angefochtenen Entscheids sowie seine sofortige Freilassung.</w:t>
      </w:r>
    </w:p>
    <w:p>
      <w:r>
        <w:rPr>
          <w:b/>
        </w:rPr>
        <w:t>E. 2</w:t>
      </w:r>
    </w:p>
    <w:p>
      <w:r>
        <w:t>Der Beschwerdeführer beantragt, ihm sei auf französisch zu antworten. Gemäss Art. 54 Abs. 1 BGG wird das bundesgerichtliche Verfahren in einer der Amtssprachen geführt, in der Regel in der Sprache des angefochtenen Entscheids. Von dieser Regel abzuweichen besteht hier kein Grund. Das Urteil des Bundesgerichts ergeht deshalb in deutscher Sprache, auch wenn der Beschwerdeführer die Beschwerde in französischer Sprache eingereicht hat, wie es Art. 42 Abs. 1 BGG zulässt.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in seinen Eingaben nicht hinreichend substanziiert mit den Erwägungen des angefochtenen Entscheids, die zum Nichteintreten geführt haben, auseinander. Soweit er geltend macht, er sei nicht ein Täter, sondern das Opfer von Aggression und Machtmissbrauch, der Polizist habe ihn angegriffen, eingeschüchtert und terrorisiert, vermag der Beschwerdeführer nicht konkret aufzuzeigen, inwiefern die Begründung der Vorinstanz bzw. das Nichteintreten selbst rechts- bzw. verfassungswidrig sein soll. Die Beschwerde genügt damit den dargelegten gesetzlichen Formerfordernissen offensichtlich nicht, weshalb auf sie im vereinfachten Verfahren nach Art. 108 Abs. 1 BGG nicht einzutreten ist.</w:t>
      </w:r>
    </w:p>
    <w:p>
      <w:r>
        <w:rPr>
          <w:b/>
        </w:rPr>
        <w:t>E. 5</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