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7B_458/2025 vom 18. Juni 2025</w:t>
      </w:r>
    </w:p>
    <w:p>
      <w:r>
        <w:t>Bundesgericht, 2025-06-18, DE</w:t>
      </w:r>
    </w:p>
    <w:p>
      <w:r>
        <w:rPr>
          <w:b/>
        </w:rPr>
        <w:t xml:space="preserve">Quelle: </w:t>
      </w:r>
      <w:r>
        <w:t>https://mcp.opencaselaw.ch/entscheid/bger_7B_458_2025</w:t>
      </w:r>
    </w:p>
    <w:p>
      <w:r>
        <w:t>FR: TF 7B_458/2025 du 18 juin 2025</w:t>
      </w:r>
    </w:p>
    <w:p>
      <w:r>
        <w:t>IT: TF 7B_458/2025 del 18 giugno 2025</w:t>
      </w:r>
    </w:p>
    <w:p>
      <w:pPr>
        <w:pStyle w:val="Heading2"/>
      </w:pPr>
      <w:r>
        <w:t>Erwägungen</w:t>
      </w:r>
    </w:p>
    <w:p>
      <w:r>
        <w:rPr>
          <w:b/>
        </w:rPr>
        <w:t>E. 1.1</w:t>
      </w:r>
    </w:p>
    <w:p>
      <w:r>
        <w:t>Die Staatsanwaltschaft Basel-Landschaft, Hauptabteilung Besondere Delikte, führt ein Strafverfahren gegen A.________ wegen Mordes. Nachdem A.________ am 8. Dezember 2023 von Deutschland in die Schweiz ausgeliefert worden war, versetzte ihn das Zwangsmassnahmengericht Basel-Landschaft mit Entscheid vom 11. Dezember 2023 in Untersuchungshaft. Das Zwangsmassnahmengericht verlängerte diese mehrfach, zuletzt mit Entscheid vom 3. Januar 2025 für die Dauer von drei Monaten bis zum 6. April 2025. Gegen diesen Entscheid erhob A.________ Beschwerde an das Kantonsgericht Basel-Landschaft, welches die Beschwerde mit Beschluss vom 25. Februar 2025 abwies, soweit es darauf eintrat. Auf eine dagegen von A.________ selbstständig an das Bundesgericht erhobene Beschwerde trat dieses nicht ein (Urteil 7B_325/2025 vom 11. April 2025).</w:t>
      </w:r>
    </w:p>
    <w:p>
      <w:r>
        <w:rPr>
          <w:b/>
        </w:rPr>
        <w:t>E. 1.2</w:t>
      </w:r>
    </w:p>
    <w:p>
      <w:r>
        <w:t>Am 28. März 2025 erhob die Staatsanwaltschaft Anklage gegen A.________ wegen Mordes und beantragte die Anordnung von Sicherheitshaft. Das Zwangsmassnahmengericht hiess den Antrag gut und ordnete mit Entscheid vom 8. April 2025 Sicherheitshaft bis zum 20. Juni 2025 an. Die von A.________ gegen diesen Entscheid an das Kantonsgericht Basel-Landschaft erhobene Beschwerde wies dieses mit Entscheid vom 14. Mai 2025 ab.</w:t>
      </w:r>
    </w:p>
    <w:p>
      <w:r>
        <w:rPr>
          <w:b/>
        </w:rPr>
        <w:t>E. 1.3</w:t>
      </w:r>
    </w:p>
    <w:p>
      <w:r>
        <w:t>Mit Eingabe vom 19. Mai 2025 führt A.________ selbstständig Beschwerde in Strafsachen an das Bundesgericht gegen den Entscheid vom 14. Mai 2025 und beantragt die Aufhebung des angefochtenen Entscheids und seine sofortige Haftentlassung.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setzt sich in seiner weitschweifigen Beschwerdeschrift nicht hinreichend substanziiert mit den Erwägungen des angefochtenen Entscheids auseinander. Soweit er abermals umfangreiche Ausführungen zum Rechtshilfeersuchen bzw. zur Auslieferung macht, kann darauf von vornherein nicht eingetreten werden (vgl. so auch bereits im den Beschwerdeführer betreffenden Urteil 7B_325/2025 vom 11. April 2025 in E. 3 festgehalten). Streitgegenstand ist einzig die angeordnete Sicherheitshaft, deren Voraussetzungen die Vorinstanz nachvollziehbar und ausführlich begründet hat. Der Beschwerdeführer beschränkt sich darauf, erneut Ausführungen zur angeblichen Verjährung zu machen und die Geschehnisse aus seiner Sicht zu schildern. Vor dem Hintergrund, dass insbesondere die Verjährung und in diesem Zusammenhang das Vorliegen des Tatverdachts vom Bundesgericht ausführlich behandelt worden ist (vgl. die den Beschwerdeführer betreffenden Urteile 7B_325/2025 vom 11. April 2025, 7B_1327/2024 vom 13. Januar 2025 sowie 7B_915/2024 vom 1. Oktober 2024, zur Publikation bestimmt), vermag der Beschwerdeführer mit dieser appellatorischen Kritik von vornherein nicht konkret aufzuzeigen, inwiefern die Begründung der Vorinstanz rechts- bzw. verfassungswidrig sein soll. Die Beschwerde genügt damit den dargelegten gesetzlichen Formerfordernissen offensichtlich nicht, weshalb auf sie im vereinfachten Verfahren nach Art. 108 Abs. 1 BGG nicht einzutreten ist.</w:t>
      </w:r>
    </w:p>
    <w:p>
      <w:r>
        <w:rPr>
          <w:b/>
        </w:rPr>
        <w:t>E. 4</w:t>
      </w:r>
    </w:p>
    <w:p>
      <w:r>
        <w:t>Damit wird der Beschwerdeführer kostenpflichtig ( Art. 66 Abs. 1 BGG ). Sein Gesuch um unentgeltliche Rechtspflege ist wegen Aussichtslosigkeit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