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7B_456/2023 vom 23. Februar 2024</w:t>
      </w:r>
    </w:p>
    <w:p>
      <w:r>
        <w:t>Bundesgericht, 2024-02-23, DE</w:t>
      </w:r>
    </w:p>
    <w:p>
      <w:r>
        <w:rPr>
          <w:b/>
        </w:rPr>
        <w:t xml:space="preserve">Quelle: </w:t>
      </w:r>
      <w:r>
        <w:t>https://mcp.opencaselaw.ch/entscheid/bger_7B_456_2023</w:t>
      </w:r>
    </w:p>
    <w:p>
      <w:r>
        <w:t>FR: TF 7B_456/2023 du 23 février 2024</w:t>
      </w:r>
    </w:p>
    <w:p>
      <w:r>
        <w:t>IT: TF 7B_456/2023 del 23 febbraio 2024</w:t>
      </w:r>
    </w:p>
    <w:p>
      <w:pPr>
        <w:pStyle w:val="Heading2"/>
      </w:pPr>
      <w:r>
        <w:t>Erwägungen</w:t>
      </w:r>
    </w:p>
    <w:p>
      <w:r>
        <w:rPr>
          <w:b/>
        </w:rPr>
        <w:t>E. 1.1</w:t>
      </w:r>
    </w:p>
    <w:p>
      <w:r>
        <w:t>Die Beschwerde wurde fristgerecht ( Art. 100 Abs. 1 BGG ) gegen einen kantonal letztinstanzlichen ( Art. 80 BGG ), verfahrensabschliessenden Entscheid ( Art. 90 BGG ) eines oberen Gerichts ( Art. 86 Abs. 2 BGG ) betreffend eine Strafsache ( Art. 78 Abs. 1 BGG ) eingereicht. Darauf ist unter Vorbehalt der nachfolgenden Erwägungen einzutreten.</w:t>
      </w:r>
    </w:p>
    <w:p>
      <w:r>
        <w:rPr>
          <w:b/>
        </w:rPr>
        <w:t>E. 1.2</w:t>
      </w:r>
    </w:p>
    <w:p>
      <w:r>
        <w:t>Mit der Beschwerde in Strafsachen kann auch die Verletzung von Verfassungsrecht gerügt werden ( Art. 95 BGG ). Die vom Beschwerdeführer zusätzlich erhobene subsidiäre Verfassungsbeschwerde ist ausgeschlossen (vgl. Art. 113 BGG ).</w:t>
      </w:r>
    </w:p>
    <w:p>
      <w:r>
        <w:rPr>
          <w:b/>
        </w:rPr>
        <w:t>E. 2</w:t>
      </w:r>
    </w:p>
    <w:p>
      <w:r>
        <w:t>Der Beschwerdeführer rügt eine willkürliche Sachverhaltsfeststellung.</w:t>
      </w:r>
    </w:p>
    <w:p>
      <w:r>
        <w:rPr>
          <w:b/>
        </w:rPr>
        <w:t>E. 2.1.1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148 IV 39 E. 2.3.5).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148 IV 205 E. 2.6; 146 IV 88 E. 1.3.1; je mit Hinweisen). Dem Grundsatz "in dubio pro reo" als Beweiswürdigungsregel kommt im Verfahren vor Bundesgericht keine über das Willkürverbot hinausgehende Bedeutung zu ( BGE 148 IV 409 E. 2.2; 146 IV 88 E. 1.3.1; je mit Hinweisen).</w:t>
      </w:r>
    </w:p>
    <w:p>
      <w:r>
        <w:rPr>
          <w:b/>
        </w:rPr>
        <w:t>E. 2.1.2</w:t>
      </w:r>
    </w:p>
    <w:p>
      <w:r>
        <w:t>Waren - wie hier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indessen auch mit den Erwägungen der ersten Instanz auseinandersetzen. Das Bundesgericht nimmt keine eigene Beweiswürdigung vor (Urteile 6B_1322/2023 vom 10. Januar 2024 E. 3; 6B_1288/2021 vom 24. November 2021 E. 2; je mit Hinweis).</w:t>
      </w:r>
    </w:p>
    <w:p>
      <w:r>
        <w:rPr>
          <w:b/>
        </w:rPr>
        <w:t>E. 2.2.1</w:t>
      </w:r>
    </w:p>
    <w:p>
      <w:r>
        <w:t>Die Vorinstanz erwägt, nachdem die Geschwindigkeitsübertretung festgestellt worden sei, sei dem Fahrzeughalter, B.________, das Formular zur Benennung des tatsächlichen Lenkers zugestellt worden. Dieser habe angegeben, beim Fahrzeuglenker habe es sich um C.________, wohnhaft in Bosnien und Herzegowina, gehandelt. In der Folge sei gegen diesen am 2. März 2020 ein Strafbefehl wegen Verletzung der Verkehrsregeln erlassen worden. C.________ habe sich in der Folge bei der Staatsanwaltschaft gemeldet und angegeben, dass er das Fahrzeug nicht gelenkt habe. Im Rahmen weiterer Ermittlungen habe die Polizei des Kantons Solothurn den Beschwerdeführer und Sohn des Fahrzeughalters, A.________, als mutmasslichen Täter der Geschwindigkeitsübertretung vom 23. Oktober 2019 eruiert. Daraufhin sei das Verfahren gegen C.________ eingestellt und gegen den Beschwerdeführer ein Strafbefehl ausgestellt worden.</w:t>
      </w:r>
    </w:p>
    <w:p>
      <w:r>
        <w:rPr>
          <w:b/>
        </w:rPr>
        <w:t>E. 2.2.2</w:t>
      </w:r>
    </w:p>
    <w:p>
      <w:r>
        <w:t>Weiter hält die Vorinstanz teilweise mit Verweis auf das erstinstanzliche Urteil fest, es liege ein Radarfoto vor, welches anlässlich der erstinstanzlichen Gerichtsverhandlung vergrössert worden sei, um das Gesicht des Fahrzeuglenkers besser ersichtlich zu machen. Beim Vergleich des Radarfotos mit dem Foto auf dem Führerschein des Beschwerdeführers und dem anlässlich der Verhandlung anwesenden Beschwerdeführer habe die ausserordentliche Amtsgerichtsstatthalterin klar erkennen können, dass es sich dabei um die gleiche Person handle. Auch der Umstand, dass das Fahrzeug dem Vater des Beschwerdeführers gehört und der Beschwerdeführer das Fahrzeug mit einer gewissen Regelmässigkeit gefahren habe, würden für die Täterschaft des Beschwerdeführers sprechen. Dieser könne sich denn auch nicht mehr daran erinnern, ob er das Fahrzeug zum fraglichen Zeitpunkt gefahren habe. Es erscheine unter diesen Umständen äusserst unwahrscheinlich, dass es sich beim Fahrzeuglenker um eine andere Person gehandelt habe, die dem Beschwerdeführer derart ähnlich sehe und zudem Zugang zum Fahrzeug gehabt habe. Hinweise darauf, dass es sich so wie vom Beschwerdeführer behauptet verhalten habe, gebe es nicht und würden von diesem auch nicht vorgebracht. Der Grundsatz "in dubio pro reo" gelange somit nicht zur Anwendung, denn es bestünden eindeutig keine unüberwindbaren Zweifel, dass es sich bei der Person am Steuer um den Beschwerdeführer gehandelt habe.</w:t>
      </w:r>
    </w:p>
    <w:p>
      <w:r>
        <w:rPr>
          <w:b/>
        </w:rPr>
        <w:t>E. 2.3</w:t>
      </w:r>
    </w:p>
    <w:p>
      <w:r>
        <w:t>Die hiervor zusammengefasst dargestellten Erwägungen der Vorinstanz sind ausführlich, überzeugend und schlüssig. Es ist nicht ersichtlich, dass sie bei der Feststellung oder Würdigung des Sachverhalts in Willkür verfallen wäre oder zu Unrecht eine willkürliche Beweiswürdigung durch die erste Instanz verneint hätte.</w:t>
      </w:r>
    </w:p>
    <w:p>
      <w:r>
        <w:t>Der Beschwerdeführer beschränkt sich darauf, seine vor Vorinstanz erhobenen Einwände zu wiederholen und die Beweiswürdigung hinsichtlich des Radarfotos in Zweifel zu ziehen. Auf diese appellatorische Kritik am angefochtenen Urteil ist nicht einzugehen. Die Vorinstanz begründet ausführlich, weshalb bereits die erste Instanz bei der Beweiswürdigung nicht in Willkür verfallen ist. Sie geht auf die Kritik des Beschwerdeführers ein und widerlegt diese schlüssig. So erwägt sie in Bezug auf das Radarfoto, die erste Instanz habe sowohl im Protokoll als auch in ihrem Urteil festgehalten, es lasse sich "klar erkennen", dass es sich auf den verschiedenen Fotos um die gleiche Person handle. Die Kritik des Beschwerdeführers, das (erstinstanzliche) Gericht habe sich dem Abgleich zu wenig angenommen, sei nicht nachvollziehbar. Das erstinstanzliche Gericht habe die Übereinstimmung mit seiner persönlichen Wahrnehmung bestätigt.</w:t>
      </w:r>
    </w:p>
    <w:p>
      <w:r>
        <w:t>Auch das im bundesgerichtlichen Verfahren erneut vorgebrachte Argument, wonach die Staatsanwaltschaft zunächst einen anderen Mann als mutmasslichen Täter erachtet habe, weshalb Zweifel an der Täterschaft des Beschwerdeführers bestünden, widerlegt die Vorinstanz schlüssig. So hält sie fest, dass der genannte Umstand nichts an ihren Feststellungen zu ändern vermöge, insbesondere, da die Staatsanwaltschaft bei ihrem ersten Strafbefehl vom 2. März 2020 einzig auf die Angaben des Fahrzeughalters und nicht auf einen Fotovergleich abgestellt habe. Inwiefern die Vorinstanz damit, wie vom Beschwerdeführer behauptet, willkürlich die Beweiswürdigung der ersten Instanz übernommen und den Grundsatz "in dubio pro reo" verletzt haben könnte, ist nach dem soeben Ausgeführten nicht ansatzweise ersichtlich. Die Vorinstanz durfte gestützt auf die erwähnten Indizien und Beweismittel willkürfrei davon ausgehen, dass die Geschwindigkeitsübertretung vom Beschwerdeführer begangen wurde. Eine Verletzung der Begründungspflicht (vgl. dazu: BGE 147 IV 409 E. 5.3.4; 146 II 335 E. 5.1; Urteil 7B_984/2023 vom 8. Januar 2024 E. 2.5.2; je mit Hinweisen) ist ebenfalls nicht auszumachen.</w:t>
      </w:r>
    </w:p>
    <w:p>
      <w:r>
        <w:rPr>
          <w:b/>
        </w:rPr>
        <w:t>E. 3</w:t>
      </w:r>
    </w:p>
    <w:p>
      <w:r>
        <w:t>Im Weiteren macht der Beschwerdeführer geltend, der zunächst mit Strafbefehl vom 2. März 2020 wegen der Geschwindigkeitsübertretung verurteilte C.________ habe sich erst bei den Behörden gemeldet, nachdem der Strafbefehl in Rechtskraft erwachsen sei. In diesem Fall hätte die Aufhebung des Strafbefehls in einem Revisionsverfahren erfolgen müssen. Die Staatsanwaltschaft habe das Verfahren damit nicht ohne weiteres einstellen dürfen. Der Beschwerdeführer ist mit seinem Einwand nicht zu hören. Im gegen C.________ geführten Strafverfahren ist er nicht berechtigt, Einwände zu erheben. Dies gilt umso mehr, als das genannte Verfahren rechtskräftig abgeschlossen ist. Zudem wurde in Bezug auf dieses Vorbringen der kantonale Instanzenzug nicht ausgeschöpft. Auf den Einwand des Beschwerdeführers ist daher nicht weiter einzugehen.</w:t>
      </w:r>
    </w:p>
    <w:p>
      <w:r>
        <w:rPr>
          <w:b/>
        </w:rPr>
        <w:t>E. 4</w:t>
      </w:r>
    </w:p>
    <w:p>
      <w:r>
        <w:t>Nach dem Gesagten ist die Beschwerde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