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447/2024 vom 3. Mai 2024</w:t>
      </w:r>
    </w:p>
    <w:p>
      <w:r>
        <w:t>Bundesgericht, 2024-05-03, DE</w:t>
      </w:r>
    </w:p>
    <w:p>
      <w:r>
        <w:rPr>
          <w:b/>
        </w:rPr>
        <w:t xml:space="preserve">Quelle: </w:t>
      </w:r>
      <w:r>
        <w:t>https://mcp.opencaselaw.ch/entscheid/bger_7B_447_2024</w:t>
      </w:r>
    </w:p>
    <w:p>
      <w:r>
        <w:t>FR: TF 7B 447/2024 du 3 mai 2024</w:t>
      </w:r>
    </w:p>
    <w:p>
      <w:r>
        <w:t>IT: TF 7B 447/2024 del 3 maggio 2024</w:t>
      </w:r>
    </w:p>
    <w:p>
      <w:pPr>
        <w:pStyle w:val="Heading2"/>
      </w:pPr>
      <w:r>
        <w:t>Regeste</w:t>
      </w:r>
    </w:p>
    <w:p>
      <w:r>
        <w:t>Haftbeschwerde (Sicherheitshaft); Nichteintreten | Strafprozess</w:t>
      </w:r>
    </w:p>
    <w:p>
      <w:pPr>
        <w:pStyle w:val="Heading2"/>
      </w:pPr>
      <w:r>
        <w:t>Erwägungen</w:t>
      </w:r>
    </w:p>
    <w:p>
      <w:r>
        <w:rPr>
          <w:b/>
        </w:rPr>
        <w:t>E. 1</w:t>
      </w:r>
    </w:p>
    <w:p>
      <w:r>
        <w:t>Mit Entscheid vom 12. Februar 2024 wies das Zwangsmassnahmengericht Basel-Landschaft das Haftentlassungsgesuch von A.________ ab und verlängerte die Sicherheitshaft bis zum 29. April 2024. Die dagegen von A.________ erhobene Beschwerde wies das Kantonsgericht Basel-Landschaft mit Beschluss vom 25. März 2024 ab. Gegen den Beschluss des Kantonsgerichts führt A.________ mit Eingabe vom 15. April 2024 Beschwerde in Strafsachen an das Bundesgericht. Das Bundesgericht verzichtet auf die Einholung von Vernehmlassungen.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setzt sich in seiner Beschwerdeschrift nicht ansatzweise mit den ausführlichen Erwägungen des angefochtenen Entscheids betreffend die Verlängerung der Sicherheitshaft und die Abweisung des Haftentlassungsgesuchs auseinander (vgl. E. 2.9 f. des angefochtenen Entscheids). Vielmehr beschränkt er sich darauf, Willkür, eine Verletzung seines Anspruchs auf einen gesetzlichen Richter sowie eine Verletzung des Beschleunigungsgebots geltend zu machen. Er behauptet, aufgrund des Alters der dem Zwangsmassnahmengericht vorsitzenden Richterin von 72 Jahren bestehe keine Garantie, dass sie die kognitiven Stärken eines jüngeren Menschen besitze, auf die er ein Recht habe und er nicht wisse, ob der "Altersabbau" soweit fortgeschritten sei oder nicht, dass sein Freiheitsverlust nicht hinreichend habe geprüft werden können. Vor dem Hintergrund, dass sich die Vorinstanz auch mit dieser Rüge des angeblich zu hohen Alters eingehend auseinandersetzt (vgl. E. 2.6 des angefochtenen Entscheids), vermag der Beschwerdeführer mit seiner appellatorischen Kritik von vornherein nicht konkret aufzuzeigen, inwiefern die Begründung der Vorinstanz rechts- bzw. verfassungswidrig sein soll. Die Beschwerde genügt damit den dargelegten gesetzlichen Formerfordernissen offensichtlich nicht, weshalb auf sie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