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7B_445/2025 vom 15. August 2025</w:t>
      </w:r>
    </w:p>
    <w:p>
      <w:r>
        <w:t>Bundesgericht, 2025-08-15, FR</w:t>
      </w:r>
    </w:p>
    <w:p>
      <w:r>
        <w:rPr>
          <w:b/>
        </w:rPr>
        <w:t xml:space="preserve">Quelle: </w:t>
      </w:r>
      <w:r>
        <w:t>https://mcp.opencaselaw.ch/entscheid/bger_7B_445_2025</w:t>
      </w:r>
    </w:p>
    <w:p>
      <w:r>
        <w:t>FR: TF 7B_445/2025 du 15 août 2025</w:t>
      </w:r>
    </w:p>
    <w:p>
      <w:r>
        <w:t>IT: TF 7B_445/2025 del 15 agosto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 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w:t>
      </w:r>
    </w:p>
    <w:p>
      <w:r>
        <w:rPr>
          <w:b/>
        </w:rPr>
        <w:t>E. 1.2</w:t>
      </w:r>
    </w:p>
    <w:p>
      <w:r>
        <w:t>Face à la motivation cantonale sur le versement tardif des sûretés, la recourante se borne à invoquer des arguments de fond. Elle échoue ainsi à mettre en évidence, par une motivation conforme aux exigences en la matière ( art. 42 al. 2 LTF ), en quoi l'autorité précédente aurait violé le droit (soit en particulier l' art. 383 al. 2 CPP ) en déclarant son recours irrecevable "pour cette raison déjà" (cf. arrêt attaqué, consid. 1.4). Ce pan indépendant de la motivation de l'arrêt entrepris demeure ainsi intact, si bien que le recours apparaît irrecevable. Au demeurant, en tant que la recourante soutient qu'elle n'aurait pas eu la possibilité de visionner les images de vidéosurveillance sur laquelle s'est fondée la décision de non-entrée en matière, il ne ressort pas de l'état de fait cantonal qu'elle se serait plainte, devant la Chambre des recours pénale, de ne pas avoir pu consulter ces images. Pour le reste, elle ne fait qu'opposer sa propre version des faits à ceux retenus par l'autorité précédente (cf. arrêt attaqué, consid. 1.4) dans une démarche purement appellatoire, partant, irrecevable.</w:t>
      </w:r>
    </w:p>
    <w:p>
      <w:r>
        <w:rPr>
          <w:b/>
        </w:rPr>
        <w:t>E. 1.3</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