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7B_441/2023 vom 22. Dezember 2023</w:t>
      </w:r>
    </w:p>
    <w:p>
      <w:r>
        <w:t>Bundesgericht, 2023-12-22, FR</w:t>
      </w:r>
    </w:p>
    <w:p>
      <w:r>
        <w:rPr>
          <w:b/>
        </w:rPr>
        <w:t xml:space="preserve">Quelle: </w:t>
      </w:r>
      <w:r>
        <w:t>https://mcp.opencaselaw.ch/entscheid/bger_7B_441_2023</w:t>
      </w:r>
    </w:p>
    <w:p>
      <w:r>
        <w:t>FR: TF 7B_441/2023 du 22 décembre 2023</w:t>
      </w:r>
    </w:p>
    <w:p>
      <w:r>
        <w:t>IT: TF 7B_441/2023 del 22 dicembre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 qui se limite à affirmer avoir la qualité pour recourir dès lors que la contestation porterait sur son droit de porter plainte (cf. à ce propos consid. 2</w:t>
      </w:r>
    </w:p>
    <w:p>
      <w:r>
        <w:t>infra ) - ne dit mot, dans son écriture, au sujet d'éventuelles prétentions civiles qu'il pourrait faire valoir contre la personne qu'il a dénoncée dans sa plainte pénale du 16 décembre 2022 pour contrainte "et tout autre infraction". Il ne démontre ainsi pas avoir la qualité pour recourir sur le fond en application de l'art. 81 al. 1 let. a et b ch. 5 LTF.</w:t>
      </w:r>
    </w:p>
    <w:p>
      <w:r>
        <w:rPr>
          <w:b/>
        </w:rPr>
        <w:t>E. 2</w:t>
      </w:r>
    </w:p>
    <w:p>
      <w:r>
        <w:t>Le recourant ne soulève au surplus aucun grief quant à son droit de porter plainte (cf. art. 30 à 33 CP), qui lui conférerait la qualité pour recourir sur ce point en application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