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440/2024 vom 13. Mai 2024</w:t>
      </w:r>
    </w:p>
    <w:p>
      <w:r>
        <w:t>Bundesgericht, 2024-05-13, FR</w:t>
      </w:r>
    </w:p>
    <w:p>
      <w:r>
        <w:rPr>
          <w:b/>
        </w:rPr>
        <w:t xml:space="preserve">Quelle: </w:t>
      </w:r>
      <w:r>
        <w:t>https://mcp.opencaselaw.ch/entscheid/bger_7B_440_2024</w:t>
      </w:r>
    </w:p>
    <w:p>
      <w:r>
        <w:t>FR: TF 7B 440/2024 du 13 mai 2024</w:t>
      </w:r>
    </w:p>
    <w:p>
      <w:r>
        <w:t>IT: TF 7B 440/2024 del 13 maggio 2024</w:t>
      </w:r>
    </w:p>
    <w:p>
      <w:pPr>
        <w:pStyle w:val="Heading2"/>
      </w:pPr>
      <w:r>
        <w:t>Regeste</w:t>
      </w:r>
    </w:p>
    <w:p>
      <w:r>
        <w:t>Détention provisoire; irrecevabilité du recours en matière pénale (motivation insuffisante) | Procédure pénale</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1.2</w:t>
      </w:r>
    </w:p>
    <w:p>
      <w:r>
        <w:t>En l'espèce, l'autorité précédente a considéré que le recours cantonal ne remplissait pas les exigences de motivation prescrites par l' art. 385 CPP ; le recourant n'exposait en particulier pas les motifs susceptibles de remettre en cause l'appréciation du TMC quant à l'existence de forts soupçons. La cour cantonale a en outre indiqué que la tenue de débats au sens de l' art. 390 al. 5 CPP ne se justifiait pas.</w:t>
      </w:r>
    </w:p>
    <w:p>
      <w:r>
        <w:rPr>
          <w:b/>
        </w:rPr>
        <w:t>E. 1.3</w:t>
      </w:r>
    </w:p>
    <w:p>
      <w:r>
        <w:t>Face à la motivation cantonale, le recourant se limite pour l'essentiel à alléguer qu'il aurait avoué les faits reprochés en raison des mauvais conseils de son défenseur, respectivement à invoquer des arguments en lien avec le fond. Il se plaint au surplus du fait qu'il n'a pas bénéficié d'une audience devant le TMC, alors qu'il aurait sollicité d'être entendu par cette autorité lors de son audition d'arrestation. Ce faisant, le recourant ne propose toutefois aucune motivation, conforme aux exigences en la matière, propre à démontrer en quoi l'autorité précédente aurait violé le droit fédéral (soit en particulier l' art. 385 CPP ) en déclarant son recours cantonal irrecevable.</w:t>
      </w:r>
    </w:p>
    <w:p>
      <w:r>
        <w:rPr>
          <w:b/>
        </w:rPr>
        <w:t>E. 1.4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