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7B_439/2024 vom 16. Mai 2024</w:t>
      </w:r>
    </w:p>
    <w:p>
      <w:r>
        <w:t>Bundesgericht, 2024-05-16, DE</w:t>
      </w:r>
    </w:p>
    <w:p>
      <w:r>
        <w:rPr>
          <w:b/>
        </w:rPr>
        <w:t xml:space="preserve">Quelle: </w:t>
      </w:r>
      <w:r>
        <w:t>https://mcp.opencaselaw.ch/entscheid/bger_7B_439_2024</w:t>
      </w:r>
    </w:p>
    <w:p>
      <w:r>
        <w:t>FR: TF 7B_439/2024 du 16 mai 2024</w:t>
      </w:r>
    </w:p>
    <w:p>
      <w:r>
        <w:t>IT: TF 7B_439/2024 del 16 maggio 2024</w:t>
      </w:r>
    </w:p>
    <w:p>
      <w:pPr>
        <w:pStyle w:val="Heading2"/>
      </w:pPr>
      <w:r>
        <w:t>Erwägungen</w:t>
      </w:r>
    </w:p>
    <w:p>
      <w:r>
        <w:rPr>
          <w:b/>
        </w:rPr>
        <w:t>E. 1</w:t>
      </w:r>
    </w:p>
    <w:p>
      <w:r>
        <w:t>Die Staatsanwaltschaft Frauenfeld führt eine Strafuntersuchung gegen A.________ wegen des Verdachts der Sachbeschädigung (mutmassliche Schadenssumme über Fr. 100'000.--) und des Hausfriedensbruchs. Im Rahmen der Strafuntersuchung wies die Staatsanwaltschaft den Kriminaltechnischen Dienst der Kantonspolizei Thurgau mit Verfügung vom 27. Februar 2024 an, eine bei A.________ entnommene Wangenabstrichsprobe zu analysieren und davon ein DNA-Profil zu erstellen. Mit Entscheid vom 28. März 2024 wies das Obergericht des Kantons Thurgau die von A.________ dagegen erhobene Beschwerde ab, soweit es darauf eintrat.</w:t>
      </w:r>
    </w:p>
    <w:p>
      <w:r>
        <w:rPr>
          <w:b/>
        </w:rPr>
        <w:t>E. 2</w:t>
      </w:r>
    </w:p>
    <w:p>
      <w:r>
        <w:t>Mit Eingaben vom 4. und 12. April 2024 führt A.________ Beschwerde in Strafsachen an das Bundesgericht. Sinngemäss beantragt er die Aufhebung des Entscheids des Obergerichts Thurgau vom 28. März 2024.</w:t>
      </w:r>
    </w:p>
    <w:p>
      <w:r>
        <w:t>Es wurden keine Vernehmlassungen eingeholt.</w:t>
      </w:r>
    </w:p>
    <w:p>
      <w:r>
        <w:rPr>
          <w:b/>
        </w:rPr>
        <w:t>E. 3</w:t>
      </w:r>
    </w:p>
    <w:p>
      <w:r>
        <w:t>Gemäss Art. 42 Abs. 2 BGG ist in der Begründung einer Beschwerde in gedrängter Form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Im angefochtenen Entscheid führt die Vorinstanz detailliert aus, weshalb die gesetzlichen Voraussetzungen für die Erstellung eines DNA-Profils gemäss Art. 255 Abs. 1 lit. a StPO erfüllt sind. Aus ihren Erwägungen geht dabei namentlich hervor, weshalb sie - entgegen den Rügen des Beschwerdeführers - aufgrund der Aussagen der Nachbarn und der Ex-Ehefrau des Beschwerdeführers sowie der anlässlich der bei ihm im Rahmen einer Hausdurchsuchung sichergestellten Gegenstände von einem für die Anordnung der Erstellung eines DNA-Profils notwendigen hinreichenden Tatverdacht gemäss Art. 197 Abs. 1 lit. b StPO ausgeht.</w:t>
      </w:r>
    </w:p>
    <w:p>
      <w:r>
        <w:t>Der Beschwerdeführer setzt sich mit diesen Erwägungen der Vorinstanz nicht ansatzweise auseinander, sondern schildert aus seiner Sicht die Geschehnisse eines anscheinend seit mehreren Jahren andauernden Nachbarschaftsstreits, in welchem er sich als Opfer eines durch seine Nachbarn orchestrierten "Verstrahlungsterror-Komplotts" mittels "illegaler Chipung" sieht. Auch wenn der Beschwerdeführer subjektiv von den von ihm geschilderten Eingriffen überzeugt ist, gelingt es ihm mit seinen appellatorischen Vorbringen nicht, konkret aufzuzeigen, inwiefern die Begründung der Vorinstanz rechts- bzw. verfassungswidrig sein soll. Die Beschwerde genügt den vorgenannten gesetzlichen Formerfordernissen deshalb offensichtlich nicht, weshalb auf sie im vereinfachten Verfahren nach Art. 108 Abs. 1 lit. b BGG nicht einzutreten ist.</w:t>
      </w:r>
    </w:p>
    <w:p>
      <w:r>
        <w:rPr>
          <w:b/>
        </w:rPr>
        <w:t>E. 5</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